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 w:val="24"/>
        </w:rPr>
      </w:pPr>
      <w:r>
        <w:rPr>
          <w:sz w:val="26"/>
          <w:szCs w:val="26"/>
        </w:rPr>
        <w:t>UBND TỈNH NGHỆ AN</w:t>
      </w:r>
      <w:r>
        <w:rPr>
          <w:sz w:val="25"/>
          <w:szCs w:val="27"/>
        </w:rPr>
        <w:tab/>
      </w:r>
      <w:r>
        <w:rPr>
          <w:sz w:val="24"/>
        </w:rPr>
        <w:tab/>
      </w:r>
      <w:r>
        <w:rPr>
          <w:sz w:val="26"/>
        </w:rPr>
        <w:t xml:space="preserve">  C</w:t>
      </w:r>
      <w:r>
        <w:rPr>
          <w:b/>
          <w:sz w:val="24"/>
        </w:rPr>
        <w:t xml:space="preserve">ỘNG HOÀ XÃ HỘI CHỦ NGHĨA VIỆT NAM </w:t>
      </w:r>
    </w:p>
    <w:p>
      <w:pPr>
        <w:rPr>
          <w:b/>
        </w:rPr>
      </w:pPr>
      <w:r>
        <w:t xml:space="preserve">    </w:t>
      </w:r>
      <w:r>
        <w:rPr>
          <w:b/>
          <w:sz w:val="27"/>
          <w:szCs w:val="27"/>
        </w:rPr>
        <w:t xml:space="preserve">SỞ TÀI CHÍNH </w:t>
      </w:r>
      <w:r>
        <w:tab/>
      </w:r>
      <w:r>
        <w:tab/>
        <w:t xml:space="preserve">                </w:t>
      </w:r>
      <w:r>
        <w:rPr>
          <w:b/>
        </w:rPr>
        <w:t xml:space="preserve">Độc lập - Tự do - Hạnh phúc </w:t>
      </w:r>
    </w:p>
    <w:p>
      <w:r>
        <w:rPr>
          <w:noProof/>
        </w:rPr>
        <mc:AlternateContent>
          <mc:Choice Requires="wps">
            <w:drawing>
              <wp:anchor distT="0" distB="0" distL="114300" distR="114300" simplePos="0" relativeHeight="251656704" behindDoc="0" locked="0" layoutInCell="1" allowOverlap="1">
                <wp:simplePos x="0" y="0"/>
                <wp:positionH relativeFrom="column">
                  <wp:posOffset>441960</wp:posOffset>
                </wp:positionH>
                <wp:positionV relativeFrom="paragraph">
                  <wp:posOffset>31750</wp:posOffset>
                </wp:positionV>
                <wp:extent cx="723900" cy="0"/>
                <wp:effectExtent l="7620" t="12700" r="11430" b="6350"/>
                <wp:wrapNone/>
                <wp:docPr id="4258946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F3ACD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5pt" to="91.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3196590</wp:posOffset>
                </wp:positionH>
                <wp:positionV relativeFrom="paragraph">
                  <wp:posOffset>31115</wp:posOffset>
                </wp:positionV>
                <wp:extent cx="1809750" cy="0"/>
                <wp:effectExtent l="9525" t="12065" r="9525" b="6985"/>
                <wp:wrapNone/>
                <wp:docPr id="10440825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F92BB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2.45pt" to="39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0OsAEAAEgDAAAOAAAAZHJzL2Uyb0RvYy54bWysU8Fu2zAMvQ/YPwi6L3YCZGuNOD2k7S7d&#10;FqDdBzCSbAuVRYFU4uTvJ6lJVmy3YT4Ikkg+vfdIr+6OoxMHQ2zRt3I+q6UwXqG2vm/lz5fHTz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"/>
            </w:pict>
          </mc:Fallback>
        </mc:AlternateContent>
      </w:r>
    </w:p>
    <w:p>
      <w:pPr>
        <w:jc w:val="center"/>
        <w:rPr>
          <w:i/>
        </w:rPr>
      </w:pPr>
      <w:r>
        <w:t>Số:         /TTr-STC</w:t>
      </w:r>
      <w:r>
        <w:tab/>
      </w:r>
      <w:r>
        <w:tab/>
        <w:t xml:space="preserve">                 </w:t>
      </w:r>
      <w:r>
        <w:rPr>
          <w:i/>
        </w:rPr>
        <w:t>Nghệ An, ngày      tháng     năm 2025</w:t>
      </w:r>
    </w:p>
    <w:p>
      <w:pPr>
        <w:ind w:firstLine="720"/>
        <w:rPr>
          <w:sz w:val="2"/>
        </w:rPr>
      </w:pPr>
    </w:p>
    <w:p>
      <w:pPr>
        <w:ind w:firstLine="720"/>
        <w:rPr>
          <w:sz w:val="2"/>
        </w:rPr>
      </w:pPr>
    </w:p>
    <w:p>
      <w:pPr>
        <w:jc w:val="center"/>
        <w:rPr>
          <w:b/>
          <w:sz w:val="8"/>
        </w:rPr>
      </w:pPr>
    </w:p>
    <w:p>
      <w:pPr>
        <w:jc w:val="center"/>
        <w:rPr>
          <w:b/>
          <w:sz w:val="8"/>
        </w:rPr>
      </w:pPr>
    </w:p>
    <w:p>
      <w:pPr>
        <w:jc w:val="center"/>
        <w:rPr>
          <w:b/>
        </w:rPr>
      </w:pPr>
    </w:p>
    <w:p>
      <w:pPr>
        <w:spacing w:line="276" w:lineRule="auto"/>
        <w:jc w:val="center"/>
        <w:rPr>
          <w:b/>
        </w:rPr>
      </w:pPr>
      <w:r>
        <w:rPr>
          <w:b/>
        </w:rPr>
        <w:t>TỜ TRÌNH</w:t>
      </w:r>
    </w:p>
    <w:p>
      <w:pPr>
        <w:spacing w:before="120" w:line="276" w:lineRule="auto"/>
        <w:jc w:val="center"/>
        <w:rPr>
          <w:b/>
        </w:rPr>
      </w:pPr>
      <w:r>
        <w:rPr>
          <w:b/>
        </w:rPr>
        <w:t xml:space="preserve">Về việc quy định </w:t>
      </w:r>
      <w:r>
        <w:rPr>
          <w:b/>
          <w:bCs/>
          <w:color w:val="000000"/>
        </w:rPr>
        <w:t>Bảng giá tính thuế tài nguyên đối với nhóm, loại tài nguyên có tính chất lý, hóa giống nhau năm 2026 trên địa bàn tỉnh Nghệ An</w:t>
      </w:r>
      <w:r>
        <w:rPr>
          <w:b/>
        </w:rPr>
        <w:t xml:space="preserve"> </w:t>
      </w:r>
    </w:p>
    <w:p>
      <w:pPr>
        <w:spacing w:line="276" w:lineRule="auto"/>
        <w:jc w:val="center"/>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1599565</wp:posOffset>
                </wp:positionH>
                <wp:positionV relativeFrom="paragraph">
                  <wp:posOffset>32385</wp:posOffset>
                </wp:positionV>
                <wp:extent cx="2593182" cy="0"/>
                <wp:effectExtent l="0" t="0" r="0" b="0"/>
                <wp:wrapNone/>
                <wp:docPr id="3465906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3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5CEE9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5pt,2.55pt" to="33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"/>
            </w:pict>
          </mc:Fallback>
        </mc:AlternateContent>
      </w:r>
    </w:p>
    <w:p>
      <w:pPr>
        <w:spacing w:line="276" w:lineRule="auto"/>
        <w:ind w:left="1440" w:firstLine="720"/>
      </w:pPr>
    </w:p>
    <w:p>
      <w:pPr>
        <w:spacing w:line="276" w:lineRule="auto"/>
        <w:ind w:left="1440" w:firstLine="720"/>
      </w:pPr>
      <w:r>
        <w:t>Kính gửi: Ủy ban nhân dân tỉnh Nghệ An</w:t>
      </w:r>
    </w:p>
    <w:p>
      <w:pPr>
        <w:spacing w:line="276" w:lineRule="auto"/>
        <w:ind w:left="1440" w:firstLine="720"/>
      </w:pPr>
    </w:p>
    <w:p>
      <w:pPr>
        <w:spacing w:before="60" w:after="60" w:line="276" w:lineRule="auto"/>
        <w:ind w:firstLine="720"/>
        <w:jc w:val="both"/>
      </w:pPr>
      <w:r>
        <w:t xml:space="preserve">Thực hiện quy định của Luật Ban hành văn bản quy phạm pháp luật, Sở Tài chính kính trình UBND tỉnh Dự thảo Quyết định thay thế Quyết định số 71/2024/QĐ-UBND ngày 27 tháng 12 năm 2024 của UBND tỉnh ban hành Bảng giá tính thuế tài nguyên đối với nhóm, loại tài nguyên có tính chất lý, hóa giống nhau năm 2024 trên địa bàn tỉnh Nghệ An với một số nội dung cụ thể như sau: </w:t>
      </w:r>
    </w:p>
    <w:p>
      <w:pPr>
        <w:spacing w:before="60" w:after="60" w:line="276" w:lineRule="auto"/>
        <w:ind w:firstLine="720"/>
        <w:jc w:val="both"/>
        <w:rPr>
          <w:b/>
        </w:rPr>
      </w:pPr>
      <w:r>
        <w:rPr>
          <w:b/>
        </w:rPr>
        <w:t>I. Sự cần thiết ban hành văn bản</w:t>
      </w:r>
    </w:p>
    <w:p>
      <w:pPr>
        <w:spacing w:before="60" w:after="60" w:line="276" w:lineRule="auto"/>
        <w:ind w:firstLine="720"/>
        <w:jc w:val="both"/>
      </w:pPr>
      <w:r>
        <w:t xml:space="preserve">Theo </w:t>
      </w:r>
      <w:r>
        <w:rPr>
          <w:spacing w:val="-4"/>
        </w:rPr>
        <w:t>quy định tại Khoản 5 Điều 6 Thông tư số 152/2015/TT-BTC ngày 02/10/2015 của Bộ Tài chính hướng dẫn về thuế tài nguyên thì: “</w:t>
      </w:r>
      <w:r>
        <w:rPr>
          <w:i/>
          <w:spacing w:val="-4"/>
        </w:rPr>
        <w:t xml:space="preserve">5. </w:t>
      </w:r>
      <w:r>
        <w:rPr>
          <w:b/>
          <w:bCs/>
          <w:i/>
          <w:spacing w:val="-4"/>
        </w:rPr>
        <w:t>Hàng năm</w:t>
      </w:r>
      <w:r>
        <w:rPr>
          <w:i/>
          <w:spacing w:val="-4"/>
        </w:rPr>
        <w:t>, Ủy ban nhân dân cấp tỉnh ban hành Bảng giá tính thuế tài nguyên để thực hiện cho năm tiếp theo liền kề</w:t>
      </w:r>
      <w:r>
        <w:rPr>
          <w:iCs/>
          <w:spacing w:val="-4"/>
        </w:rPr>
        <w:t>…. và tại điểm 5.3 Khoản 5 Điều 6 Thông tư 152/2015/TT-BTC được sửa đổi tại Khoản 2 Điều 2 Thông tư số 41/2024/TT-BTC ngày 20/5/2024 của Bộ Tài chính sửa đổi, bổ sung một số điều của Thông tư 44/2017/TT-BTC ngày 12/5/2017 và Thông tư số 152/2015/TT-BTC ngày 02/10/2015:</w:t>
      </w:r>
      <w:r>
        <w:rPr>
          <w:i/>
          <w:spacing w:val="-4"/>
        </w:rPr>
        <w:t xml:space="preserve">“2. Sở Tài chính chủ trì phối hợp với các cơ quan liên quan xây dựng và trình Ủy ban nhân dân cấp tỉnh ban hành Bảng giá tính thuế tài nguyên </w:t>
      </w:r>
      <w:r>
        <w:rPr>
          <w:b/>
          <w:bCs/>
          <w:i/>
          <w:spacing w:val="-4"/>
        </w:rPr>
        <w:t>chậm nhất là ngày 31 tháng 12 hàng năm để công bố áp dụng từ ngày 01 tháng 01 năm tiếp theo liền kề</w:t>
      </w:r>
      <w:r>
        <w:rPr>
          <w:i/>
          <w:spacing w:val="-4"/>
        </w:rPr>
        <w:t xml:space="preserve">”. </w:t>
      </w:r>
    </w:p>
    <w:p>
      <w:pPr>
        <w:spacing w:before="60" w:after="60" w:line="276" w:lineRule="auto"/>
        <w:ind w:firstLine="720"/>
        <w:jc w:val="both"/>
        <w:rPr>
          <w:i/>
        </w:rPr>
      </w:pPr>
      <w:r>
        <w:t>Theo quy định tại Khoản 1 Điều 3 Quyết định số 71/2024/QĐ-UBND ngày 27/12/2024: “</w:t>
      </w:r>
      <w:r>
        <w:rPr>
          <w:i/>
        </w:rPr>
        <w:t>1. Trách nhiệm của Sở Tài chính: a) Chủ trì, phối hợp với Sở Tài nguyên và Môi trường, Cục Thuế tỉnh và các đơn vị có liên quan tham mưu trình Ủy ban nhân dân tỉnh hàng năm xây dựng Bảng giá tính thuế tài nguyên cho phù hợp với biến động của thị trường, phù hợp với Khung giá tính thuế tài nguyên do Bộ Tài chính ban hành”</w:t>
      </w:r>
      <w:r>
        <w:t>.</w:t>
      </w:r>
    </w:p>
    <w:p>
      <w:pPr>
        <w:spacing w:before="60" w:after="60" w:line="276" w:lineRule="auto"/>
        <w:ind w:firstLine="720"/>
        <w:jc w:val="both"/>
      </w:pPr>
      <w:r>
        <w:t>Từ các lý do nêu trên thì việc ban hành Quyết định thay thế Quyết định số 71/2024/QĐ-UBND ngày 27 tháng 12 năm 2024 của UBND tỉnh ban hành Bảng giá tính thuế tài nguyên đối với nhóm, loại tài nguyên có tính chất lý, hóa giống nhau năm 2024 trên địa bàn tỉnh Nghệ An là hết sức cần thiết.</w:t>
      </w:r>
    </w:p>
    <w:p>
      <w:pPr>
        <w:spacing w:before="60" w:after="60" w:line="276" w:lineRule="auto"/>
        <w:ind w:firstLine="720"/>
        <w:jc w:val="both"/>
        <w:rPr>
          <w:b/>
          <w:bCs/>
        </w:rPr>
      </w:pPr>
      <w:r>
        <w:rPr>
          <w:b/>
          <w:bCs/>
        </w:rPr>
        <w:lastRenderedPageBreak/>
        <w:t>II. Mục đích, quan điểm chỉ đạo, đánh giá tác động</w:t>
      </w:r>
    </w:p>
    <w:p>
      <w:pPr>
        <w:numPr>
          <w:ilvl w:val="0"/>
          <w:numId w:val="20"/>
        </w:numPr>
        <w:spacing w:before="60" w:after="60" w:line="276" w:lineRule="auto"/>
        <w:jc w:val="both"/>
        <w:rPr>
          <w:b/>
          <w:bCs/>
        </w:rPr>
      </w:pPr>
      <w:r>
        <w:rPr>
          <w:b/>
          <w:bCs/>
        </w:rPr>
        <w:t>Mục đích:</w:t>
      </w:r>
    </w:p>
    <w:p>
      <w:pPr>
        <w:spacing w:before="60" w:after="60" w:line="276" w:lineRule="auto"/>
        <w:ind w:firstLine="709"/>
        <w:jc w:val="both"/>
        <w:rPr>
          <w:b/>
          <w:bCs/>
        </w:rPr>
      </w:pPr>
      <w:r>
        <w:rPr>
          <w:bCs/>
        </w:rPr>
        <w:t xml:space="preserve">Làm cơ sở tính thuế tài nguyên năm 2025 trên địa bàn tỉnh Nghệ An. </w:t>
      </w:r>
    </w:p>
    <w:p>
      <w:pPr>
        <w:numPr>
          <w:ilvl w:val="0"/>
          <w:numId w:val="20"/>
        </w:numPr>
        <w:spacing w:before="60" w:after="60" w:line="276" w:lineRule="auto"/>
        <w:jc w:val="both"/>
        <w:rPr>
          <w:b/>
        </w:rPr>
      </w:pPr>
      <w:r>
        <w:rPr>
          <w:b/>
        </w:rPr>
        <w:t xml:space="preserve">Quan điểm chỉ đạo  </w:t>
      </w:r>
    </w:p>
    <w:p>
      <w:pPr>
        <w:spacing w:before="60" w:after="60" w:line="276" w:lineRule="auto"/>
        <w:ind w:firstLine="720"/>
        <w:jc w:val="both"/>
        <w:rPr>
          <w:spacing w:val="-6"/>
        </w:rPr>
      </w:pPr>
      <w:r>
        <w:rPr>
          <w:spacing w:val="-6"/>
        </w:rPr>
        <w:t xml:space="preserve">a) Nguyên tắc chung </w:t>
      </w:r>
    </w:p>
    <w:p>
      <w:pPr>
        <w:spacing w:before="60" w:after="60" w:line="276" w:lineRule="auto"/>
        <w:ind w:firstLine="720"/>
        <w:jc w:val="both"/>
      </w:pPr>
      <w:r>
        <w:t>Mức giá tính thuế tài nguyên của các tài nguyên trong Bảng giá tính thuế tài nguyên trên địa bàn tỉnh trong dự thảo lần này được xác định như sau:</w:t>
      </w:r>
    </w:p>
    <w:p>
      <w:pPr>
        <w:spacing w:before="60" w:after="60" w:line="276" w:lineRule="auto"/>
        <w:ind w:firstLine="720"/>
        <w:jc w:val="both"/>
      </w:pPr>
      <w:r>
        <w:t xml:space="preserve">- Việc ban hành mức giá phải phù hợp với quy định tại Thông tư số 44/2017/TT-BTC ngày 12/5/2017 và Thông tư số 05/2020/TT-BTC ngày 20/01/2020 của Bộ Tài chính và các quy định hiện hành có liên quan. </w:t>
      </w:r>
    </w:p>
    <w:p>
      <w:pPr>
        <w:spacing w:before="60" w:after="60" w:line="276" w:lineRule="auto"/>
        <w:ind w:firstLine="720"/>
        <w:jc w:val="both"/>
      </w:pPr>
      <w:r>
        <w:t xml:space="preserve">- Giá tính thuế tài nguyên dựa trên giá bán đơn vị sản phẩm tài nguyên trên thị trường do cơ quan thuế cung cấp </w:t>
      </w:r>
      <w:r>
        <w:rPr>
          <w:i/>
        </w:rPr>
        <w:t>(thể hiện trên hóa đơn (nếu có))</w:t>
      </w:r>
      <w:r>
        <w:t>;</w:t>
      </w:r>
    </w:p>
    <w:p>
      <w:pPr>
        <w:spacing w:before="60" w:after="60" w:line="276" w:lineRule="auto"/>
        <w:ind w:firstLine="720"/>
        <w:jc w:val="both"/>
      </w:pPr>
      <w:r>
        <w:t>b) Về danh mục nhóm, loại tài nguyên</w:t>
      </w:r>
    </w:p>
    <w:p>
      <w:pPr>
        <w:spacing w:before="60" w:after="60" w:line="276" w:lineRule="auto"/>
        <w:ind w:firstLine="720"/>
        <w:jc w:val="both"/>
      </w:pPr>
      <w:r>
        <w:t xml:space="preserve">Theo ý kiến của Sở Nông nghiệp và Môi trường tại Công văn số 8597/SNNMT-KS ngày 30/9/2025 và Thuế tỉnh Nghệ An tại </w:t>
      </w:r>
      <w:r>
        <w:t>Công văn số 1534/NAN-NVDTPC ngày 26/9/2025</w:t>
      </w:r>
      <w:r>
        <w:t xml:space="preserve"> thống nhất giữ nguyên danh mục nhóm, loại tài nguyên như quy định tại Quyết định số 71/2024/QĐ-UBND ngày 27/12/2025 của Ủy ban nhân dân tỉnh, cụ thể là 412 mã tài nguyên.</w:t>
      </w:r>
    </w:p>
    <w:p>
      <w:pPr>
        <w:spacing w:before="60" w:after="60" w:line="276" w:lineRule="auto"/>
        <w:ind w:firstLine="720"/>
        <w:jc w:val="both"/>
      </w:pPr>
      <w:r>
        <w:t>c) Về mức giá cụ thể của 412 mã tài nguyên:</w:t>
      </w:r>
    </w:p>
    <w:p>
      <w:pPr>
        <w:spacing w:line="276" w:lineRule="auto"/>
        <w:ind w:firstLine="567"/>
        <w:jc w:val="both"/>
      </w:pPr>
      <w:r>
        <w:tab/>
        <w:t>c.1) Trên cơ sở đề xuất của Thuế tỉnh Nghệ An tại Công văn số 1534/NAN-NVDTPC ngày 26/9/2025 (là cơ quan chủ trì cung cấp cơ sở dữ liệu giá tính thuế tài nguyên), Sở Tài chính đề nghị điều chỉnh giá tính thuế tài nguyên đối với một 16 mã tài nguyên thuộc Phụ lục II khoáng sản</w:t>
      </w:r>
      <w:bookmarkStart w:id="0" w:name="_GoBack"/>
      <w:bookmarkEnd w:id="0"/>
      <w:r>
        <w:t xml:space="preserve"> không kim loại do giá giao dịch trên thị trường hiện nay biến động tăng trên 20%, cụ thể như sau:</w:t>
      </w:r>
    </w:p>
    <w:tbl>
      <w:tblPr>
        <w:tblW w:w="9356" w:type="dxa"/>
        <w:tblInd w:w="-459" w:type="dxa"/>
        <w:tblLook w:val="04A0" w:firstRow="1" w:lastRow="0" w:firstColumn="1" w:lastColumn="0" w:noHBand="0" w:noVBand="1"/>
      </w:tblPr>
      <w:tblGrid>
        <w:gridCol w:w="1433"/>
        <w:gridCol w:w="1769"/>
        <w:gridCol w:w="960"/>
        <w:gridCol w:w="1020"/>
        <w:gridCol w:w="1199"/>
        <w:gridCol w:w="1436"/>
        <w:gridCol w:w="1539"/>
      </w:tblGrid>
      <w:tr>
        <w:trPr>
          <w:trHeight w:val="1035"/>
          <w:tblHeader/>
        </w:trPr>
        <w:tc>
          <w:tcPr>
            <w:tcW w:w="1433" w:type="dxa"/>
            <w:vMerge w:val="restart"/>
            <w:tcBorders>
              <w:top w:val="single" w:sz="4" w:space="0" w:color="auto"/>
              <w:left w:val="single" w:sz="4" w:space="0" w:color="auto"/>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Mã nhóm, loại tài nguyên</w:t>
            </w:r>
          </w:p>
        </w:tc>
        <w:tc>
          <w:tcPr>
            <w:tcW w:w="1769" w:type="dxa"/>
            <w:vMerge w:val="restart"/>
            <w:tcBorders>
              <w:top w:val="single" w:sz="4" w:space="0" w:color="auto"/>
              <w:left w:val="nil"/>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Tên nhóm, loại tài nguyên</w:t>
            </w:r>
          </w:p>
          <w:p>
            <w:pPr>
              <w:jc w:val="center"/>
              <w:rPr>
                <w:b/>
                <w:bCs/>
                <w:color w:val="000000"/>
                <w:sz w:val="22"/>
                <w:szCs w:val="22"/>
              </w:rPr>
            </w:pPr>
            <w:r>
              <w:rPr>
                <w:b/>
                <w:bCs/>
                <w:color w:val="000000"/>
                <w:sz w:val="22"/>
                <w:szCs w:val="22"/>
                <w:lang w:val="vi-VN"/>
              </w:rPr>
              <w:t> </w:t>
            </w:r>
          </w:p>
        </w:tc>
        <w:tc>
          <w:tcPr>
            <w:tcW w:w="960" w:type="dxa"/>
            <w:vMerge w:val="restart"/>
            <w:tcBorders>
              <w:top w:val="single" w:sz="4" w:space="0" w:color="auto"/>
              <w:left w:val="nil"/>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Đơn vị tính</w:t>
            </w:r>
          </w:p>
          <w:p>
            <w:pPr>
              <w:jc w:val="center"/>
              <w:rPr>
                <w:b/>
                <w:bCs/>
                <w:color w:val="000000"/>
                <w:sz w:val="22"/>
                <w:szCs w:val="22"/>
              </w:rPr>
            </w:pPr>
            <w:r>
              <w:rPr>
                <w:b/>
                <w:bCs/>
                <w:color w:val="000000"/>
                <w:sz w:val="22"/>
                <w:szCs w:val="22"/>
                <w:lang w:val="vi-VN"/>
              </w:rPr>
              <w:t> </w:t>
            </w:r>
          </w:p>
        </w:tc>
        <w:tc>
          <w:tcPr>
            <w:tcW w:w="2219" w:type="dxa"/>
            <w:gridSpan w:val="2"/>
            <w:tcBorders>
              <w:top w:val="single" w:sz="4" w:space="0" w:color="auto"/>
              <w:left w:val="nil"/>
              <w:bottom w:val="single" w:sz="4" w:space="0" w:color="auto"/>
              <w:right w:val="single" w:sz="4" w:space="0" w:color="000000"/>
            </w:tcBorders>
            <w:shd w:val="clear" w:color="000000" w:fill="FFFFFF"/>
            <w:vAlign w:val="center"/>
            <w:hideMark/>
          </w:tcPr>
          <w:p>
            <w:pPr>
              <w:jc w:val="center"/>
              <w:rPr>
                <w:b/>
                <w:bCs/>
                <w:color w:val="000000"/>
                <w:sz w:val="22"/>
                <w:szCs w:val="22"/>
              </w:rPr>
            </w:pPr>
            <w:r>
              <w:rPr>
                <w:b/>
                <w:bCs/>
                <w:color w:val="000000"/>
                <w:sz w:val="22"/>
                <w:szCs w:val="22"/>
                <w:lang w:val="vi-VN"/>
              </w:rPr>
              <w:t xml:space="preserve">Giá tính thuế tài nguyên Thông tư số </w:t>
            </w:r>
            <w:r>
              <w:rPr>
                <w:b/>
                <w:bCs/>
                <w:color w:val="000000"/>
                <w:sz w:val="22"/>
                <w:szCs w:val="22"/>
              </w:rPr>
              <w:t>05</w:t>
            </w:r>
            <w:r>
              <w:rPr>
                <w:b/>
                <w:bCs/>
                <w:color w:val="000000"/>
                <w:sz w:val="22"/>
                <w:szCs w:val="22"/>
                <w:lang w:val="vi-VN"/>
              </w:rPr>
              <w:t>/</w:t>
            </w:r>
            <w:r>
              <w:rPr>
                <w:b/>
                <w:bCs/>
                <w:color w:val="000000"/>
                <w:sz w:val="22"/>
                <w:szCs w:val="22"/>
              </w:rPr>
              <w:t>2020</w:t>
            </w:r>
            <w:r>
              <w:rPr>
                <w:b/>
                <w:bCs/>
                <w:color w:val="000000"/>
                <w:sz w:val="22"/>
                <w:szCs w:val="22"/>
                <w:lang w:val="vi-VN"/>
              </w:rPr>
              <w:t>/TT-BTC</w:t>
            </w:r>
          </w:p>
        </w:tc>
        <w:tc>
          <w:tcPr>
            <w:tcW w:w="1436" w:type="dxa"/>
            <w:vMerge w:val="restart"/>
            <w:tcBorders>
              <w:top w:val="single" w:sz="4" w:space="0" w:color="auto"/>
              <w:left w:val="nil"/>
              <w:right w:val="single" w:sz="4" w:space="0" w:color="auto"/>
            </w:tcBorders>
            <w:shd w:val="clear" w:color="000000" w:fill="FFFFFF"/>
            <w:vAlign w:val="center"/>
            <w:hideMark/>
          </w:tcPr>
          <w:p>
            <w:pPr>
              <w:jc w:val="center"/>
              <w:rPr>
                <w:b/>
                <w:bCs/>
                <w:color w:val="000000"/>
                <w:sz w:val="22"/>
                <w:szCs w:val="22"/>
              </w:rPr>
            </w:pPr>
            <w:r>
              <w:rPr>
                <w:b/>
                <w:bCs/>
                <w:color w:val="000000"/>
                <w:sz w:val="22"/>
                <w:szCs w:val="22"/>
              </w:rPr>
              <w:t xml:space="preserve">Giá tính thuế tài nguyên tại </w:t>
            </w:r>
            <w:r>
              <w:rPr>
                <w:b/>
                <w:bCs/>
                <w:color w:val="000000"/>
                <w:sz w:val="22"/>
                <w:szCs w:val="22"/>
              </w:rPr>
              <w:t>QĐ số 71/2024/QĐ-UBND</w:t>
            </w:r>
          </w:p>
        </w:tc>
        <w:tc>
          <w:tcPr>
            <w:tcW w:w="1539" w:type="dxa"/>
            <w:vMerge w:val="restart"/>
            <w:tcBorders>
              <w:top w:val="single" w:sz="4" w:space="0" w:color="auto"/>
              <w:left w:val="nil"/>
              <w:right w:val="single" w:sz="4" w:space="0" w:color="auto"/>
            </w:tcBorders>
            <w:shd w:val="clear" w:color="000000" w:fill="FFFFFF"/>
            <w:vAlign w:val="center"/>
            <w:hideMark/>
          </w:tcPr>
          <w:p>
            <w:pPr>
              <w:jc w:val="center"/>
              <w:rPr>
                <w:b/>
                <w:bCs/>
                <w:color w:val="000000"/>
                <w:sz w:val="22"/>
                <w:szCs w:val="22"/>
              </w:rPr>
            </w:pPr>
            <w:r>
              <w:rPr>
                <w:b/>
                <w:bCs/>
                <w:color w:val="000000"/>
                <w:sz w:val="22"/>
                <w:szCs w:val="22"/>
              </w:rPr>
              <w:t>Đ</w:t>
            </w:r>
            <w:r>
              <w:rPr>
                <w:b/>
                <w:bCs/>
                <w:color w:val="000000"/>
                <w:sz w:val="22"/>
                <w:szCs w:val="22"/>
              </w:rPr>
              <w:t>ề xuất sửa đổi</w:t>
            </w:r>
            <w:r>
              <w:rPr>
                <w:b/>
                <w:bCs/>
                <w:color w:val="000000"/>
                <w:sz w:val="22"/>
                <w:szCs w:val="22"/>
              </w:rPr>
              <w:t xml:space="preserve"> </w:t>
            </w:r>
            <w:r>
              <w:rPr>
                <w:b/>
                <w:bCs/>
                <w:color w:val="000000"/>
                <w:sz w:val="22"/>
                <w:szCs w:val="22"/>
                <w:lang w:val="vi-VN"/>
              </w:rPr>
              <w:t xml:space="preserve">Giá </w:t>
            </w:r>
            <w:r>
              <w:rPr>
                <w:b/>
                <w:bCs/>
                <w:color w:val="000000"/>
                <w:sz w:val="22"/>
                <w:szCs w:val="22"/>
              </w:rPr>
              <w:t>tính thuế Tài nguyên</w:t>
            </w:r>
          </w:p>
        </w:tc>
      </w:tr>
      <w:tr>
        <w:trPr>
          <w:trHeight w:val="420"/>
          <w:tblHeader/>
        </w:trPr>
        <w:tc>
          <w:tcPr>
            <w:tcW w:w="1433" w:type="dxa"/>
            <w:vMerge/>
            <w:tcBorders>
              <w:left w:val="single" w:sz="4" w:space="0" w:color="auto"/>
              <w:bottom w:val="single" w:sz="4" w:space="0" w:color="auto"/>
              <w:right w:val="single" w:sz="4" w:space="0" w:color="auto"/>
            </w:tcBorders>
            <w:shd w:val="clear" w:color="000000" w:fill="FFFFFF"/>
            <w:vAlign w:val="center"/>
            <w:hideMark/>
          </w:tcPr>
          <w:p>
            <w:pPr>
              <w:jc w:val="center"/>
              <w:rPr>
                <w:b/>
                <w:bCs/>
                <w:color w:val="000000"/>
                <w:sz w:val="22"/>
                <w:szCs w:val="22"/>
              </w:rPr>
            </w:pPr>
          </w:p>
        </w:tc>
        <w:tc>
          <w:tcPr>
            <w:tcW w:w="1769" w:type="dxa"/>
            <w:vMerge/>
            <w:tcBorders>
              <w:left w:val="nil"/>
              <w:bottom w:val="single" w:sz="4" w:space="0" w:color="auto"/>
              <w:right w:val="single" w:sz="4" w:space="0" w:color="auto"/>
            </w:tcBorders>
            <w:shd w:val="clear" w:color="000000" w:fill="FFFFFF"/>
            <w:vAlign w:val="center"/>
            <w:hideMark/>
          </w:tcPr>
          <w:p>
            <w:pPr>
              <w:jc w:val="center"/>
              <w:rPr>
                <w:b/>
                <w:bCs/>
                <w:color w:val="000000"/>
                <w:sz w:val="22"/>
                <w:szCs w:val="22"/>
                <w:lang w:val="vi-VN"/>
              </w:rPr>
            </w:pPr>
          </w:p>
        </w:tc>
        <w:tc>
          <w:tcPr>
            <w:tcW w:w="960" w:type="dxa"/>
            <w:vMerge/>
            <w:tcBorders>
              <w:left w:val="nil"/>
              <w:bottom w:val="single" w:sz="4" w:space="0" w:color="auto"/>
              <w:right w:val="single" w:sz="4" w:space="0" w:color="auto"/>
            </w:tcBorders>
            <w:shd w:val="clear" w:color="000000" w:fill="FFFFFF"/>
            <w:vAlign w:val="center"/>
            <w:hideMark/>
          </w:tcPr>
          <w:p>
            <w:pPr>
              <w:jc w:val="center"/>
              <w:rPr>
                <w:b/>
                <w:bCs/>
                <w:color w:val="000000"/>
                <w:sz w:val="22"/>
                <w:szCs w:val="22"/>
                <w:lang w:val="vi-VN"/>
              </w:rPr>
            </w:pPr>
          </w:p>
        </w:tc>
        <w:tc>
          <w:tcPr>
            <w:tcW w:w="1020" w:type="dxa"/>
            <w:tcBorders>
              <w:top w:val="nil"/>
              <w:left w:val="nil"/>
              <w:bottom w:val="single" w:sz="4" w:space="0" w:color="auto"/>
              <w:right w:val="single" w:sz="4" w:space="0" w:color="auto"/>
            </w:tcBorders>
            <w:shd w:val="clear" w:color="000000" w:fill="FFFFFF"/>
            <w:vAlign w:val="center"/>
            <w:hideMark/>
          </w:tcPr>
          <w:p>
            <w:pPr>
              <w:jc w:val="center"/>
              <w:rPr>
                <w:b/>
                <w:bCs/>
                <w:color w:val="000000"/>
                <w:sz w:val="22"/>
                <w:szCs w:val="22"/>
                <w:lang w:val="vi-VN"/>
              </w:rPr>
            </w:pPr>
            <w:r>
              <w:rPr>
                <w:b/>
                <w:bCs/>
                <w:color w:val="000000"/>
                <w:sz w:val="22"/>
                <w:szCs w:val="22"/>
                <w:lang w:val="vi-VN"/>
              </w:rPr>
              <w:t>Giá tối thiểu</w:t>
            </w:r>
          </w:p>
        </w:tc>
        <w:tc>
          <w:tcPr>
            <w:tcW w:w="1199" w:type="dxa"/>
            <w:tcBorders>
              <w:top w:val="nil"/>
              <w:left w:val="nil"/>
              <w:bottom w:val="single" w:sz="4" w:space="0" w:color="auto"/>
              <w:right w:val="single" w:sz="4" w:space="0" w:color="auto"/>
            </w:tcBorders>
            <w:shd w:val="clear" w:color="000000" w:fill="FFFFFF"/>
            <w:vAlign w:val="center"/>
            <w:hideMark/>
          </w:tcPr>
          <w:p>
            <w:pPr>
              <w:jc w:val="center"/>
              <w:rPr>
                <w:b/>
                <w:bCs/>
                <w:color w:val="000000"/>
                <w:sz w:val="22"/>
                <w:szCs w:val="22"/>
                <w:lang w:val="vi-VN"/>
              </w:rPr>
            </w:pPr>
            <w:r>
              <w:rPr>
                <w:b/>
                <w:bCs/>
                <w:color w:val="000000"/>
                <w:sz w:val="22"/>
                <w:szCs w:val="22"/>
                <w:lang w:val="vi-VN"/>
              </w:rPr>
              <w:t>Giá tối đa</w:t>
            </w:r>
          </w:p>
        </w:tc>
        <w:tc>
          <w:tcPr>
            <w:tcW w:w="1436" w:type="dxa"/>
            <w:vMerge/>
            <w:tcBorders>
              <w:left w:val="nil"/>
              <w:bottom w:val="single" w:sz="4" w:space="0" w:color="auto"/>
              <w:right w:val="single" w:sz="4" w:space="0" w:color="auto"/>
            </w:tcBorders>
            <w:shd w:val="clear" w:color="000000" w:fill="FFFFFF"/>
            <w:vAlign w:val="center"/>
            <w:hideMark/>
          </w:tcPr>
          <w:p>
            <w:pPr>
              <w:jc w:val="center"/>
              <w:rPr>
                <w:b/>
                <w:bCs/>
                <w:color w:val="000000"/>
                <w:sz w:val="22"/>
                <w:szCs w:val="22"/>
                <w:lang w:val="vi-VN"/>
              </w:rPr>
            </w:pPr>
          </w:p>
        </w:tc>
        <w:tc>
          <w:tcPr>
            <w:tcW w:w="1539" w:type="dxa"/>
            <w:vMerge/>
            <w:tcBorders>
              <w:left w:val="nil"/>
              <w:bottom w:val="single" w:sz="4" w:space="0" w:color="auto"/>
              <w:right w:val="single" w:sz="4" w:space="0" w:color="auto"/>
            </w:tcBorders>
            <w:shd w:val="clear" w:color="000000" w:fill="FFFFFF"/>
            <w:vAlign w:val="center"/>
            <w:hideMark/>
          </w:tcPr>
          <w:p>
            <w:pPr>
              <w:jc w:val="center"/>
              <w:rPr>
                <w:b/>
                <w:bCs/>
                <w:color w:val="000000"/>
                <w:sz w:val="22"/>
                <w:szCs w:val="22"/>
              </w:rPr>
            </w:pPr>
          </w:p>
        </w:tc>
      </w:tr>
      <w:tr>
        <w:trPr>
          <w:trHeight w:val="63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II</w:t>
            </w:r>
          </w:p>
        </w:tc>
        <w:tc>
          <w:tcPr>
            <w:tcW w:w="1769" w:type="dxa"/>
            <w:tcBorders>
              <w:top w:val="nil"/>
              <w:left w:val="nil"/>
              <w:bottom w:val="single" w:sz="4" w:space="0" w:color="auto"/>
              <w:right w:val="single" w:sz="4" w:space="0" w:color="auto"/>
            </w:tcBorders>
            <w:shd w:val="clear" w:color="000000" w:fill="FFFFFF"/>
            <w:vAlign w:val="center"/>
            <w:hideMark/>
          </w:tcPr>
          <w:p>
            <w:pPr>
              <w:rPr>
                <w:b/>
                <w:bCs/>
                <w:color w:val="000000"/>
                <w:sz w:val="22"/>
                <w:szCs w:val="22"/>
              </w:rPr>
            </w:pPr>
            <w:r>
              <w:rPr>
                <w:b/>
                <w:bCs/>
                <w:color w:val="000000"/>
                <w:sz w:val="22"/>
                <w:szCs w:val="22"/>
                <w:lang w:val="vi-VN"/>
              </w:rPr>
              <w:t>Khoáng sản không kim loại</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 </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 </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 </w:t>
            </w:r>
          </w:p>
        </w:tc>
        <w:tc>
          <w:tcPr>
            <w:tcW w:w="1539"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r>
      <w:tr>
        <w:trPr>
          <w:trHeight w:val="746"/>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 II1</w:t>
            </w:r>
          </w:p>
        </w:tc>
        <w:tc>
          <w:tcPr>
            <w:tcW w:w="1769" w:type="dxa"/>
            <w:tcBorders>
              <w:top w:val="nil"/>
              <w:left w:val="nil"/>
              <w:bottom w:val="single" w:sz="4" w:space="0" w:color="auto"/>
              <w:right w:val="single" w:sz="4" w:space="0" w:color="auto"/>
            </w:tcBorders>
            <w:shd w:val="clear" w:color="000000" w:fill="FFFFFF"/>
            <w:vAlign w:val="center"/>
            <w:hideMark/>
          </w:tcPr>
          <w:p>
            <w:pPr>
              <w:rPr>
                <w:b/>
                <w:bCs/>
                <w:color w:val="000000"/>
                <w:sz w:val="22"/>
                <w:szCs w:val="22"/>
              </w:rPr>
            </w:pPr>
            <w:r>
              <w:rPr>
                <w:b/>
                <w:bCs/>
                <w:color w:val="000000"/>
                <w:sz w:val="22"/>
                <w:szCs w:val="22"/>
                <w:lang w:val="vi-VN"/>
              </w:rPr>
              <w:t>Đất khai thác để san lấp, xây dựng công trình</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27.000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70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41.000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50.000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bCs/>
                <w:color w:val="000000"/>
                <w:sz w:val="22"/>
                <w:szCs w:val="22"/>
              </w:rPr>
            </w:pPr>
            <w:r>
              <w:rPr>
                <w:b/>
                <w:bCs/>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b/>
                <w:bCs/>
                <w:color w:val="000000"/>
                <w:sz w:val="22"/>
                <w:szCs w:val="22"/>
              </w:rPr>
            </w:pPr>
            <w:r>
              <w:rPr>
                <w:b/>
                <w:bCs/>
                <w:color w:val="000000"/>
                <w:sz w:val="22"/>
                <w:szCs w:val="22"/>
                <w:lang w:val="vi-VN"/>
              </w:rPr>
              <w:t>Đá, sỏi</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Sỏi</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sz w:val="22"/>
                <w:szCs w:val="22"/>
              </w:rPr>
            </w:pPr>
            <w:r>
              <w:rPr>
                <w:b/>
                <w:color w:val="000000"/>
                <w:sz w:val="22"/>
                <w:szCs w:val="22"/>
                <w:lang w:val="vi-VN"/>
              </w:rPr>
              <w:t>II20101</w:t>
            </w:r>
            <w:r>
              <w:rPr>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Sạn trắng</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400</w:t>
            </w:r>
            <w:r>
              <w:rPr>
                <w:color w:val="000000"/>
                <w:sz w:val="22"/>
                <w:szCs w:val="22"/>
              </w:rPr>
              <w:t>.000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480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400.000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480.000</w:t>
            </w:r>
          </w:p>
        </w:tc>
      </w:tr>
      <w:tr>
        <w:trPr>
          <w:trHeight w:val="539"/>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lang w:val="vi-VN"/>
              </w:rPr>
              <w:t>II20102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Các loại cuội, sỏi, sạn khác</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100.000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240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168.000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205.000</w:t>
            </w:r>
          </w:p>
        </w:tc>
      </w:tr>
      <w:tr>
        <w:trPr>
          <w:trHeight w:val="4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lastRenderedPageBreak/>
              <w:t> </w:t>
            </w:r>
          </w:p>
        </w:tc>
        <w:tc>
          <w:tcPr>
            <w:tcW w:w="1769" w:type="dxa"/>
            <w:tcBorders>
              <w:top w:val="nil"/>
              <w:left w:val="nil"/>
              <w:bottom w:val="single" w:sz="4" w:space="0" w:color="auto"/>
              <w:right w:val="single" w:sz="4" w:space="0" w:color="auto"/>
            </w:tcBorders>
            <w:shd w:val="clear" w:color="000000" w:fill="FFFFFF"/>
            <w:vAlign w:val="center"/>
            <w:hideMark/>
          </w:tcPr>
          <w:p>
            <w:pPr>
              <w:rPr>
                <w:b/>
                <w:bCs/>
                <w:i/>
                <w:iCs/>
                <w:color w:val="000000"/>
                <w:sz w:val="22"/>
                <w:szCs w:val="22"/>
              </w:rPr>
            </w:pPr>
            <w:r>
              <w:rPr>
                <w:b/>
                <w:bCs/>
                <w:i/>
                <w:iCs/>
                <w:color w:val="000000"/>
                <w:sz w:val="22"/>
                <w:szCs w:val="22"/>
                <w:lang w:val="vi-VN"/>
              </w:rPr>
              <w:t>Đá xây dựng</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4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color w:val="000000"/>
                <w:sz w:val="22"/>
                <w:szCs w:val="22"/>
                <w:lang w:val="vi-VN"/>
              </w:rPr>
              <w:t> </w:t>
            </w:r>
            <w:r>
              <w:rPr>
                <w:b/>
                <w:color w:val="000000"/>
                <w:sz w:val="22"/>
                <w:szCs w:val="22"/>
                <w:lang w:val="vi-VN"/>
              </w:rPr>
              <w:t>II2020302</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Đá hộc và đá base</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77</w:t>
            </w:r>
            <w:r>
              <w:rPr>
                <w:color w:val="000000"/>
                <w:sz w:val="22"/>
                <w:szCs w:val="22"/>
              </w:rPr>
              <w:t>.000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w:t>
            </w:r>
            <w:r>
              <w:rPr>
                <w:color w:val="000000"/>
                <w:sz w:val="22"/>
                <w:szCs w:val="22"/>
              </w:rPr>
              <w:t>5</w:t>
            </w:r>
            <w:r>
              <w:rPr>
                <w:color w:val="000000"/>
                <w:sz w:val="22"/>
                <w:szCs w:val="22"/>
                <w:lang w:val="vi-VN"/>
              </w:rPr>
              <w:t>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120.000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14</w:t>
            </w:r>
            <w:r>
              <w:rPr>
                <w:color w:val="000000"/>
                <w:sz w:val="22"/>
                <w:szCs w:val="22"/>
              </w:rPr>
              <w:t>5</w:t>
            </w:r>
            <w:r>
              <w:rPr>
                <w:color w:val="000000"/>
                <w:sz w:val="22"/>
                <w:szCs w:val="22"/>
                <w:lang w:val="vi-VN"/>
              </w:rPr>
              <w:t>.000</w:t>
            </w:r>
          </w:p>
        </w:tc>
      </w:tr>
      <w:tr>
        <w:trPr>
          <w:trHeight w:val="42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color w:val="000000"/>
                <w:sz w:val="22"/>
                <w:szCs w:val="22"/>
              </w:rPr>
              <w:t> </w:t>
            </w:r>
            <w:r>
              <w:rPr>
                <w:b/>
                <w:color w:val="000000"/>
                <w:sz w:val="22"/>
                <w:szCs w:val="22"/>
              </w:rPr>
              <w:t>II2020303</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Đá cấp phối</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8</w:t>
            </w:r>
            <w:r>
              <w:rPr>
                <w:color w:val="000000"/>
                <w:sz w:val="22"/>
                <w:szCs w:val="22"/>
                <w:lang w:val="vi-VN"/>
              </w:rPr>
              <w:t>0</w:t>
            </w:r>
            <w:r>
              <w:rPr>
                <w:color w:val="000000"/>
                <w:sz w:val="22"/>
                <w:szCs w:val="22"/>
              </w:rPr>
              <w:t>.000</w:t>
            </w:r>
          </w:p>
        </w:tc>
        <w:tc>
          <w:tcPr>
            <w:tcW w:w="1199"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200</w:t>
            </w:r>
            <w:r>
              <w:rPr>
                <w:color w:val="000000"/>
                <w:sz w:val="22"/>
                <w:szCs w:val="22"/>
              </w:rPr>
              <w:t>.000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jc w:val="right"/>
              <w:rPr>
                <w:color w:val="000000"/>
                <w:sz w:val="22"/>
                <w:szCs w:val="22"/>
              </w:rPr>
            </w:pPr>
          </w:p>
        </w:tc>
        <w:tc>
          <w:tcPr>
            <w:tcW w:w="1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30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color w:val="000000"/>
                <w:sz w:val="22"/>
                <w:szCs w:val="22"/>
                <w:lang w:val="vi-VN"/>
              </w:rPr>
              <w:t> </w:t>
            </w:r>
            <w:r>
              <w:rPr>
                <w:b/>
                <w:color w:val="000000"/>
                <w:sz w:val="22"/>
                <w:szCs w:val="22"/>
                <w:lang w:val="vi-VN"/>
              </w:rPr>
              <w:t>II202030301</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Loại 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pPr>
              <w:rPr>
                <w:color w:val="000000"/>
                <w:sz w:val="22"/>
                <w:szCs w:val="22"/>
              </w:rPr>
            </w:pPr>
            <w:r>
              <w:rPr>
                <w:color w:val="000000"/>
                <w:sz w:val="22"/>
                <w:szCs w:val="22"/>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pPr>
              <w:jc w:val="right"/>
              <w:rPr>
                <w:color w:val="000000"/>
                <w:sz w:val="22"/>
                <w:szCs w:val="22"/>
              </w:rPr>
            </w:pP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pPr>
              <w:jc w:val="right"/>
              <w:rPr>
                <w:color w:val="000000"/>
                <w:sz w:val="22"/>
                <w:szCs w:val="22"/>
              </w:rPr>
            </w:pP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140.000</w:t>
            </w:r>
          </w:p>
        </w:tc>
        <w:tc>
          <w:tcPr>
            <w:tcW w:w="1539" w:type="dxa"/>
            <w:tcBorders>
              <w:top w:val="single" w:sz="4" w:space="0" w:color="auto"/>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w:t>
            </w:r>
            <w:r>
              <w:rPr>
                <w:color w:val="000000"/>
                <w:sz w:val="22"/>
                <w:szCs w:val="22"/>
              </w:rPr>
              <w:t>70</w:t>
            </w:r>
            <w:r>
              <w:rPr>
                <w:color w:val="000000"/>
                <w:sz w:val="22"/>
                <w:szCs w:val="22"/>
                <w:lang w:val="vi-VN"/>
              </w:rPr>
              <w:t>.000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shd w:val="clear" w:color="auto" w:fill="FFFFFF"/>
              </w:rPr>
              <w:t>II202030302</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Loại B</w:t>
            </w:r>
          </w:p>
        </w:tc>
        <w:tc>
          <w:tcPr>
            <w:tcW w:w="960" w:type="dxa"/>
            <w:tcBorders>
              <w:top w:val="nil"/>
              <w:left w:val="nil"/>
              <w:bottom w:val="single" w:sz="4" w:space="0" w:color="auto"/>
              <w:right w:val="single" w:sz="4" w:space="0" w:color="auto"/>
            </w:tcBorders>
            <w:shd w:val="clear" w:color="auto" w:fill="auto"/>
            <w:noWrap/>
            <w:vAlign w:val="bottom"/>
            <w:hideMark/>
          </w:tcPr>
          <w:p>
            <w:pP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auto" w:fill="auto"/>
            <w:noWrap/>
            <w:vAlign w:val="bottom"/>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90.000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w:t>
            </w:r>
            <w:r>
              <w:rPr>
                <w:color w:val="000000"/>
                <w:sz w:val="22"/>
                <w:szCs w:val="22"/>
              </w:rPr>
              <w:t>10</w:t>
            </w:r>
            <w:r>
              <w:rPr>
                <w:color w:val="000000"/>
                <w:sz w:val="22"/>
                <w:szCs w:val="22"/>
                <w:lang w:val="vi-VN"/>
              </w:rPr>
              <w:t>.000</w:t>
            </w:r>
          </w:p>
        </w:tc>
      </w:tr>
      <w:tr>
        <w:trPr>
          <w:trHeight w:val="45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shd w:val="clear" w:color="auto" w:fill="FFFFFF"/>
              </w:rPr>
              <w:t>II2020304</w:t>
            </w:r>
            <w:r>
              <w:rPr>
                <w:b/>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Đá dăm các loại</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90.000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240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30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rPr>
              <w:t> </w:t>
            </w:r>
            <w:r>
              <w:rPr>
                <w:b/>
                <w:color w:val="000000"/>
                <w:sz w:val="22"/>
                <w:szCs w:val="22"/>
                <w:shd w:val="clear" w:color="auto" w:fill="FFFFFF"/>
              </w:rPr>
              <w:t>II202030401</w:t>
            </w:r>
          </w:p>
        </w:tc>
        <w:tc>
          <w:tcPr>
            <w:tcW w:w="1769"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1 x 2cm</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160.000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19</w:t>
            </w:r>
            <w:r>
              <w:rPr>
                <w:color w:val="000000"/>
                <w:sz w:val="22"/>
                <w:szCs w:val="22"/>
              </w:rPr>
              <w:t>5</w:t>
            </w:r>
            <w:r>
              <w:rPr>
                <w:color w:val="000000"/>
                <w:sz w:val="22"/>
                <w:szCs w:val="22"/>
                <w:lang w:val="vi-VN"/>
              </w:rPr>
              <w:t>.000</w:t>
            </w:r>
          </w:p>
        </w:tc>
      </w:tr>
      <w:tr>
        <w:trPr>
          <w:trHeight w:val="33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rPr>
              <w:t> </w:t>
            </w:r>
            <w:r>
              <w:rPr>
                <w:b/>
                <w:color w:val="000000"/>
                <w:sz w:val="22"/>
                <w:szCs w:val="22"/>
                <w:shd w:val="clear" w:color="auto" w:fill="FFFFFF"/>
              </w:rPr>
              <w:t>II202030402</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1 x 0,5cm</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100.000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120.000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shd w:val="clear" w:color="auto" w:fill="FFFFFF"/>
              </w:rPr>
              <w:t>II202030403</w:t>
            </w:r>
            <w:r>
              <w:rPr>
                <w:b/>
                <w:color w:val="000000"/>
                <w:sz w:val="22"/>
                <w:szCs w:val="22"/>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2 x 4cm</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140.000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w:t>
            </w:r>
            <w:r>
              <w:rPr>
                <w:color w:val="000000"/>
                <w:sz w:val="22"/>
                <w:szCs w:val="22"/>
              </w:rPr>
              <w:t>70</w:t>
            </w:r>
            <w:r>
              <w:rPr>
                <w:color w:val="000000"/>
                <w:sz w:val="22"/>
                <w:szCs w:val="22"/>
                <w:lang w:val="vi-VN"/>
              </w:rPr>
              <w:t>.000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rPr>
              <w:t> </w:t>
            </w:r>
            <w:r>
              <w:rPr>
                <w:b/>
                <w:color w:val="000000"/>
                <w:sz w:val="22"/>
                <w:szCs w:val="22"/>
                <w:shd w:val="clear" w:color="auto" w:fill="FFFFFF"/>
              </w:rPr>
              <w:t>II202030404</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4 x 6cm</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120.000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14</w:t>
            </w:r>
            <w:r>
              <w:rPr>
                <w:color w:val="000000"/>
                <w:sz w:val="22"/>
                <w:szCs w:val="22"/>
              </w:rPr>
              <w:t>5</w:t>
            </w:r>
            <w:r>
              <w:rPr>
                <w:color w:val="000000"/>
                <w:sz w:val="22"/>
                <w:szCs w:val="22"/>
                <w:lang w:val="vi-VN"/>
              </w:rPr>
              <w:t>.000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rPr>
              <w:t> </w:t>
            </w:r>
            <w:r>
              <w:rPr>
                <w:b/>
                <w:color w:val="000000"/>
                <w:sz w:val="22"/>
                <w:szCs w:val="22"/>
                <w:shd w:val="clear" w:color="auto" w:fill="FFFFFF"/>
              </w:rPr>
              <w:t>II202030405</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6 x 8cm</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120.000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14</w:t>
            </w:r>
            <w:r>
              <w:rPr>
                <w:color w:val="000000"/>
                <w:sz w:val="22"/>
                <w:szCs w:val="22"/>
              </w:rPr>
              <w:t>5</w:t>
            </w:r>
            <w:r>
              <w:rPr>
                <w:color w:val="000000"/>
                <w:sz w:val="22"/>
                <w:szCs w:val="22"/>
                <w:lang w:val="vi-VN"/>
              </w:rPr>
              <w:t>.000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shd w:val="clear" w:color="auto" w:fill="FFFFFF"/>
              </w:rPr>
              <w:t>II2020305</w:t>
            </w:r>
            <w:r>
              <w:rPr>
                <w:b/>
                <w:color w:val="000000"/>
                <w:sz w:val="22"/>
                <w:szCs w:val="22"/>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lô ca</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140.000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w:t>
            </w:r>
            <w:r>
              <w:rPr>
                <w:color w:val="000000"/>
                <w:sz w:val="22"/>
                <w:szCs w:val="22"/>
              </w:rPr>
              <w:t>70</w:t>
            </w:r>
            <w:r>
              <w:rPr>
                <w:color w:val="000000"/>
                <w:sz w:val="22"/>
                <w:szCs w:val="22"/>
                <w:lang w:val="vi-VN"/>
              </w:rPr>
              <w:t>.000</w:t>
            </w:r>
          </w:p>
        </w:tc>
      </w:tr>
      <w:tr>
        <w:trPr>
          <w:trHeight w:val="33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rPr>
              <w:t> </w:t>
            </w:r>
            <w:r>
              <w:rPr>
                <w:b/>
                <w:color w:val="000000"/>
                <w:sz w:val="22"/>
                <w:szCs w:val="22"/>
                <w:shd w:val="clear" w:color="auto" w:fill="FFFFFF"/>
              </w:rPr>
              <w:t>II2020307</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rPr>
              <w:t>Đá bụi, mạt đá</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60.000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7</w:t>
            </w:r>
            <w:r>
              <w:rPr>
                <w:color w:val="000000"/>
                <w:sz w:val="22"/>
                <w:szCs w:val="22"/>
              </w:rPr>
              <w:t>5</w:t>
            </w:r>
            <w:r>
              <w:rPr>
                <w:color w:val="000000"/>
                <w:sz w:val="22"/>
                <w:szCs w:val="22"/>
                <w:lang w:val="vi-VN"/>
              </w:rPr>
              <w:t>.000</w:t>
            </w:r>
          </w:p>
        </w:tc>
      </w:tr>
      <w:tr>
        <w:trPr>
          <w:trHeight w:val="3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b/>
                <w:bCs/>
                <w:color w:val="000000"/>
                <w:sz w:val="22"/>
                <w:szCs w:val="22"/>
              </w:rPr>
            </w:pPr>
            <w:r>
              <w:rPr>
                <w:b/>
                <w:bCs/>
                <w:color w:val="000000"/>
                <w:sz w:val="22"/>
                <w:szCs w:val="22"/>
                <w:lang w:val="vi-VN"/>
              </w:rPr>
              <w:t>Cát</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719"/>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lang w:val="vi-VN"/>
              </w:rPr>
              <w:t> </w:t>
            </w:r>
            <w:r>
              <w:rPr>
                <w:b/>
                <w:color w:val="000000"/>
                <w:sz w:val="22"/>
                <w:szCs w:val="22"/>
                <w:shd w:val="clear" w:color="auto" w:fill="FFFFFF"/>
              </w:rPr>
              <w:t>II501</w:t>
            </w:r>
          </w:p>
        </w:tc>
        <w:tc>
          <w:tcPr>
            <w:tcW w:w="1769" w:type="dxa"/>
            <w:tcBorders>
              <w:top w:val="nil"/>
              <w:left w:val="nil"/>
              <w:bottom w:val="single" w:sz="4" w:space="0" w:color="auto"/>
              <w:right w:val="single" w:sz="4" w:space="0" w:color="auto"/>
            </w:tcBorders>
            <w:shd w:val="clear" w:color="000000" w:fill="FFFFFF"/>
            <w:vAlign w:val="center"/>
            <w:hideMark/>
          </w:tcPr>
          <w:p>
            <w:pPr>
              <w:rPr>
                <w:b/>
                <w:bCs/>
                <w:i/>
                <w:iCs/>
                <w:color w:val="000000"/>
                <w:sz w:val="22"/>
                <w:szCs w:val="22"/>
              </w:rPr>
            </w:pPr>
            <w:r>
              <w:rPr>
                <w:b/>
                <w:bCs/>
                <w:i/>
                <w:iCs/>
                <w:color w:val="000000"/>
                <w:sz w:val="22"/>
                <w:szCs w:val="22"/>
                <w:lang w:val="vi-VN"/>
              </w:rPr>
              <w:t xml:space="preserve">Cát san </w:t>
            </w:r>
            <w:r>
              <w:rPr>
                <w:b/>
                <w:bCs/>
                <w:i/>
                <w:iCs/>
                <w:color w:val="000000"/>
                <w:sz w:val="22"/>
                <w:szCs w:val="22"/>
              </w:rPr>
              <w:t>l</w:t>
            </w:r>
            <w:r>
              <w:rPr>
                <w:b/>
                <w:bCs/>
                <w:i/>
                <w:iCs/>
                <w:color w:val="000000"/>
                <w:sz w:val="22"/>
                <w:szCs w:val="22"/>
                <w:lang w:val="vi-VN"/>
              </w:rPr>
              <w:t>ấp (bao gồm cả cát nhiễm mặn)</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56</w:t>
            </w:r>
            <w:r>
              <w:rPr>
                <w:color w:val="000000"/>
                <w:sz w:val="22"/>
                <w:szCs w:val="22"/>
              </w:rPr>
              <w:t>.000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80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60.000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7</w:t>
            </w:r>
            <w:r>
              <w:rPr>
                <w:color w:val="000000"/>
                <w:sz w:val="22"/>
                <w:szCs w:val="22"/>
              </w:rPr>
              <w:t>5</w:t>
            </w:r>
            <w:r>
              <w:rPr>
                <w:color w:val="000000"/>
                <w:sz w:val="22"/>
                <w:szCs w:val="22"/>
                <w:lang w:val="vi-VN"/>
              </w:rPr>
              <w:t>.000</w:t>
            </w:r>
          </w:p>
        </w:tc>
      </w:tr>
      <w:tr>
        <w:trPr>
          <w:trHeight w:val="341"/>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b/>
                <w:bCs/>
                <w:i/>
                <w:iCs/>
                <w:color w:val="000000"/>
                <w:sz w:val="22"/>
                <w:szCs w:val="22"/>
              </w:rPr>
            </w:pPr>
            <w:r>
              <w:rPr>
                <w:b/>
                <w:bCs/>
                <w:i/>
                <w:iCs/>
                <w:color w:val="000000"/>
                <w:sz w:val="22"/>
                <w:szCs w:val="22"/>
                <w:lang w:val="vi-VN"/>
              </w:rPr>
              <w:t>Cát xây dựng</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 </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p>
        </w:tc>
      </w:tr>
      <w:tr>
        <w:trPr>
          <w:trHeight w:val="359"/>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shd w:val="clear" w:color="auto" w:fill="FFFFFF"/>
              </w:rPr>
              <w:t>II50201</w:t>
            </w:r>
            <w:r>
              <w:rPr>
                <w:b/>
                <w:color w:val="000000"/>
                <w:sz w:val="22"/>
                <w:szCs w:val="22"/>
                <w:lang w:val="vi-VN"/>
              </w:rPr>
              <w:t> </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Cát đen dùng trong xây dựng</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70</w:t>
            </w:r>
            <w:r>
              <w:rPr>
                <w:color w:val="000000"/>
                <w:sz w:val="22"/>
                <w:szCs w:val="22"/>
              </w:rPr>
              <w:t>.000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100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70.000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8</w:t>
            </w:r>
            <w:r>
              <w:rPr>
                <w:color w:val="000000"/>
                <w:sz w:val="22"/>
                <w:szCs w:val="22"/>
              </w:rPr>
              <w:t>5</w:t>
            </w:r>
            <w:r>
              <w:rPr>
                <w:color w:val="000000"/>
                <w:sz w:val="22"/>
                <w:szCs w:val="22"/>
                <w:lang w:val="vi-VN"/>
              </w:rPr>
              <w:t>.000</w:t>
            </w:r>
          </w:p>
        </w:tc>
      </w:tr>
      <w:tr>
        <w:trPr>
          <w:trHeight w:val="449"/>
        </w:trPr>
        <w:tc>
          <w:tcPr>
            <w:tcW w:w="1433" w:type="dxa"/>
            <w:tcBorders>
              <w:top w:val="nil"/>
              <w:left w:val="single" w:sz="4" w:space="0" w:color="auto"/>
              <w:bottom w:val="single" w:sz="4" w:space="0" w:color="auto"/>
              <w:right w:val="single" w:sz="4" w:space="0" w:color="auto"/>
            </w:tcBorders>
            <w:shd w:val="clear" w:color="000000" w:fill="FFFFFF"/>
            <w:vAlign w:val="center"/>
            <w:hideMark/>
          </w:tcPr>
          <w:p>
            <w:pPr>
              <w:jc w:val="center"/>
              <w:rPr>
                <w:b/>
                <w:color w:val="000000"/>
                <w:sz w:val="22"/>
                <w:szCs w:val="22"/>
              </w:rPr>
            </w:pPr>
            <w:r>
              <w:rPr>
                <w:b/>
                <w:color w:val="000000"/>
                <w:sz w:val="22"/>
                <w:szCs w:val="22"/>
                <w:lang w:val="vi-VN"/>
              </w:rPr>
              <w:t> </w:t>
            </w:r>
            <w:r>
              <w:rPr>
                <w:b/>
                <w:color w:val="000000"/>
                <w:sz w:val="22"/>
                <w:szCs w:val="22"/>
                <w:shd w:val="clear" w:color="auto" w:fill="FFFFFF"/>
              </w:rPr>
              <w:t>II50202</w:t>
            </w:r>
          </w:p>
        </w:tc>
        <w:tc>
          <w:tcPr>
            <w:tcW w:w="1769" w:type="dxa"/>
            <w:tcBorders>
              <w:top w:val="nil"/>
              <w:left w:val="nil"/>
              <w:bottom w:val="single" w:sz="4" w:space="0" w:color="auto"/>
              <w:right w:val="single" w:sz="4" w:space="0" w:color="auto"/>
            </w:tcBorders>
            <w:shd w:val="clear" w:color="000000" w:fill="FFFFFF"/>
            <w:vAlign w:val="center"/>
            <w:hideMark/>
          </w:tcPr>
          <w:p>
            <w:pPr>
              <w:rPr>
                <w:color w:val="000000"/>
                <w:sz w:val="22"/>
                <w:szCs w:val="22"/>
              </w:rPr>
            </w:pPr>
            <w:r>
              <w:rPr>
                <w:color w:val="000000"/>
                <w:sz w:val="22"/>
                <w:szCs w:val="22"/>
                <w:lang w:val="vi-VN"/>
              </w:rPr>
              <w:t>Cát vàng dùng trong xây dựng</w:t>
            </w:r>
          </w:p>
        </w:tc>
        <w:tc>
          <w:tcPr>
            <w:tcW w:w="960" w:type="dxa"/>
            <w:tcBorders>
              <w:top w:val="nil"/>
              <w:left w:val="nil"/>
              <w:bottom w:val="single" w:sz="4" w:space="0" w:color="auto"/>
              <w:right w:val="single" w:sz="4" w:space="0" w:color="auto"/>
            </w:tcBorders>
            <w:shd w:val="clear" w:color="000000" w:fill="FFFFFF"/>
            <w:vAlign w:val="center"/>
            <w:hideMark/>
          </w:tcPr>
          <w:p>
            <w:pPr>
              <w:jc w:val="center"/>
              <w:rPr>
                <w:color w:val="000000"/>
                <w:sz w:val="22"/>
                <w:szCs w:val="22"/>
              </w:rPr>
            </w:pPr>
            <w:r>
              <w:rPr>
                <w:color w:val="000000"/>
                <w:sz w:val="22"/>
                <w:szCs w:val="22"/>
                <w:lang w:val="vi-VN"/>
              </w:rPr>
              <w:t>m3</w:t>
            </w:r>
          </w:p>
        </w:tc>
        <w:tc>
          <w:tcPr>
            <w:tcW w:w="1020"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105.000</w:t>
            </w:r>
          </w:p>
        </w:tc>
        <w:tc>
          <w:tcPr>
            <w:tcW w:w="119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350</w:t>
            </w:r>
            <w:r>
              <w:rPr>
                <w:color w:val="000000"/>
                <w:sz w:val="22"/>
                <w:szCs w:val="22"/>
              </w:rPr>
              <w:t>.000</w:t>
            </w:r>
          </w:p>
        </w:tc>
        <w:tc>
          <w:tcPr>
            <w:tcW w:w="1436"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rPr>
              <w:t>110.000</w:t>
            </w:r>
          </w:p>
        </w:tc>
        <w:tc>
          <w:tcPr>
            <w:tcW w:w="1539" w:type="dxa"/>
            <w:tcBorders>
              <w:top w:val="nil"/>
              <w:left w:val="nil"/>
              <w:bottom w:val="single" w:sz="4" w:space="0" w:color="auto"/>
              <w:right w:val="single" w:sz="4" w:space="0" w:color="auto"/>
            </w:tcBorders>
            <w:shd w:val="clear" w:color="000000" w:fill="FFFFFF"/>
            <w:vAlign w:val="center"/>
            <w:hideMark/>
          </w:tcPr>
          <w:p>
            <w:pPr>
              <w:jc w:val="right"/>
              <w:rPr>
                <w:color w:val="000000"/>
                <w:sz w:val="22"/>
                <w:szCs w:val="22"/>
              </w:rPr>
            </w:pPr>
            <w:r>
              <w:rPr>
                <w:color w:val="000000"/>
                <w:sz w:val="22"/>
                <w:szCs w:val="22"/>
                <w:lang w:val="vi-VN"/>
              </w:rPr>
              <w:t>13</w:t>
            </w:r>
            <w:r>
              <w:rPr>
                <w:color w:val="000000"/>
                <w:sz w:val="22"/>
                <w:szCs w:val="22"/>
              </w:rPr>
              <w:t>5</w:t>
            </w:r>
            <w:r>
              <w:rPr>
                <w:color w:val="000000"/>
                <w:sz w:val="22"/>
                <w:szCs w:val="22"/>
                <w:lang w:val="vi-VN"/>
              </w:rPr>
              <w:t>.000</w:t>
            </w:r>
          </w:p>
        </w:tc>
      </w:tr>
    </w:tbl>
    <w:p>
      <w:pPr>
        <w:spacing w:line="276" w:lineRule="auto"/>
        <w:ind w:firstLine="567"/>
        <w:jc w:val="both"/>
      </w:pPr>
      <w:r>
        <w:t>b.2) Đối với các tài nguyên còn lại (ngoài các tài nguyên nêu tại mục 1): bao gồm 382 mã tài nguyên.</w:t>
      </w:r>
    </w:p>
    <w:p>
      <w:pPr>
        <w:spacing w:line="276" w:lineRule="auto"/>
        <w:ind w:firstLine="567"/>
        <w:jc w:val="both"/>
      </w:pPr>
      <w:r>
        <w:t xml:space="preserve">Đề xuất giữ nguyên giá tính thuế tài nguyên bằng giá tính thuế tài nguyên đã ban hành tại Quyết định số 71/2024/QĐ-UBND ngày 27/12/2024 của UBND tỉnh ban hành bảng giá tính thuế tài nguyên đối với nhóm, loại tài nguyên có tính chất lý, hóa giống nhau năm 2024 trên địa bàn tỉnh Nghệ An.  </w:t>
      </w:r>
    </w:p>
    <w:p>
      <w:pPr>
        <w:spacing w:before="60" w:after="60" w:line="276" w:lineRule="auto"/>
        <w:ind w:firstLine="720"/>
        <w:jc w:val="both"/>
      </w:pPr>
      <w:r>
        <w:t>Mức giá tính thuế tài nguyên trình ban hành đảm bảo nằm trong khung giá của Thông tư số 05/2020/TT-BTC của Bộ Tài chính, như vậy phù hợp các quy định của Trung ương.</w:t>
      </w:r>
    </w:p>
    <w:p>
      <w:pPr>
        <w:spacing w:before="60" w:after="60" w:line="276" w:lineRule="auto"/>
        <w:ind w:firstLine="720"/>
        <w:jc w:val="both"/>
        <w:rPr>
          <w:b/>
          <w:bCs/>
        </w:rPr>
      </w:pPr>
      <w:r>
        <w:rPr>
          <w:b/>
          <w:bCs/>
        </w:rPr>
        <w:t>3. Đánh giá tác động</w:t>
      </w:r>
    </w:p>
    <w:p>
      <w:pPr>
        <w:spacing w:before="60" w:after="60" w:line="276" w:lineRule="auto"/>
        <w:ind w:firstLine="720"/>
        <w:jc w:val="both"/>
      </w:pPr>
      <w:r>
        <w:t>Với việc đề xuất giá tính thuế tài nguyên nêu trên thì nguồn thu từ thuế tài nguyên tăng thêm khoảng... so với tổng nguồn thu từ thuế tài nguyên hiện nay (</w:t>
      </w:r>
      <w:r>
        <w:rPr>
          <w:highlight w:val="yellow"/>
        </w:rPr>
        <w:t>khoảng 590 tỷ đồng/ năm</w:t>
      </w:r>
      <w:r>
        <w:t>).</w:t>
      </w:r>
    </w:p>
    <w:p>
      <w:pPr>
        <w:spacing w:before="60" w:after="60" w:line="276" w:lineRule="auto"/>
        <w:ind w:firstLine="720"/>
        <w:jc w:val="both"/>
        <w:rPr>
          <w:b/>
        </w:rPr>
      </w:pPr>
      <w:r>
        <w:rPr>
          <w:b/>
        </w:rPr>
        <w:t>III. Quá trình xây dựng dự thảo</w:t>
      </w:r>
    </w:p>
    <w:p>
      <w:pPr>
        <w:spacing w:before="60" w:after="60" w:line="276" w:lineRule="auto"/>
        <w:ind w:firstLine="720"/>
        <w:jc w:val="both"/>
      </w:pPr>
      <w:r>
        <w:lastRenderedPageBreak/>
        <w:t>1. Ngày 28/8/2025, Sở Tài chính có Công văn số 5587/STC-QLG&amp;CS đề nghị Cục Thuế Nghệ An, Sở Nông nghiệp và Môi trường rà soát, cung cấp thông tin, đề xuất ý kiến để Sở Tài chính có cơ sở xây dựng dự thảo Quyết định quy định bảng giá tính thuế tài nguyên năm 2026 trên địa bàn tỉnh Nghệ An.</w:t>
      </w:r>
    </w:p>
    <w:p>
      <w:pPr>
        <w:spacing w:before="60" w:after="60" w:line="276" w:lineRule="auto"/>
        <w:ind w:firstLine="720"/>
        <w:jc w:val="both"/>
      </w:pPr>
      <w:r>
        <w:t>2. Ngày .../10/2025, trên cơ sở các quy định hiện hành, ý kiến của Cục Thuế Nghệ An, Sở Tài chính xây dựng dự thảo Tờ trình, Quyết định và có Công văn số ..../STC-QLG&amp;CS đề nghị các Sở , ngành, đơn vị có liên quan rà soát và cho ý kiến dự thảo quyết định quy định bảng giá tính thuế tài nguyên năm 2026 trên địa bàn tỉnh Nghệ An và đề nghị thực hiện đăng tải dự thảo Quyết định trên Cổng thông tin điện tử tỉnh Nghệ An.</w:t>
      </w:r>
    </w:p>
    <w:p>
      <w:pPr>
        <w:spacing w:before="60" w:after="60" w:line="276" w:lineRule="auto"/>
        <w:ind w:firstLine="720"/>
        <w:jc w:val="both"/>
        <w:rPr>
          <w:bCs/>
        </w:rPr>
      </w:pPr>
      <w:r>
        <w:rPr>
          <w:bCs/>
        </w:rPr>
        <w:t>2. Ngày .../11/2025, Sở Tài chính có Công văn số .../STC-QLG&amp;CS gửi Sở Tư pháp thẩm định.</w:t>
      </w:r>
    </w:p>
    <w:p>
      <w:pPr>
        <w:spacing w:before="60" w:after="60" w:line="276" w:lineRule="auto"/>
        <w:ind w:firstLine="720"/>
        <w:jc w:val="both"/>
        <w:rPr>
          <w:bCs/>
        </w:rPr>
      </w:pPr>
      <w:r>
        <w:rPr>
          <w:bCs/>
        </w:rPr>
        <w:t>4. Ngày .../11/2025, tiếp thu Sở Tư pháp tại Báo cáo thẩm định số .../BCTĐ-STP ngày .../11/2025, Sở Tài chính có Công văn số .../STC-QLG&amp;CS tiếp thu, giải trình gửi Sở Tư pháp.</w:t>
      </w:r>
    </w:p>
    <w:p>
      <w:pPr>
        <w:spacing w:before="60" w:after="60" w:line="276" w:lineRule="auto"/>
        <w:ind w:firstLine="720"/>
        <w:jc w:val="both"/>
        <w:rPr>
          <w:bCs/>
        </w:rPr>
      </w:pPr>
      <w:r>
        <w:rPr>
          <w:bCs/>
        </w:rPr>
        <w:t>5. Sở Tài chính hoàn thiện, trình Ủy ban nhân dân tỉnh Quyết định.</w:t>
      </w:r>
    </w:p>
    <w:p>
      <w:pPr>
        <w:spacing w:before="60" w:after="60" w:line="276" w:lineRule="auto"/>
        <w:ind w:firstLine="720"/>
        <w:jc w:val="both"/>
        <w:rPr>
          <w:bCs/>
        </w:rPr>
      </w:pPr>
      <w:r>
        <w:rPr>
          <w:b/>
          <w:bCs/>
        </w:rPr>
        <w:t>IV. Bố cục và nội dung cơ bản của dự thảo</w:t>
      </w:r>
    </w:p>
    <w:p>
      <w:pPr>
        <w:spacing w:before="60" w:after="60" w:line="276" w:lineRule="auto"/>
        <w:ind w:firstLine="720"/>
        <w:jc w:val="both"/>
        <w:rPr>
          <w:bCs/>
        </w:rPr>
      </w:pPr>
      <w:r>
        <w:rPr>
          <w:bCs/>
        </w:rPr>
        <w:t xml:space="preserve">Dự thảo Quyết định được phân thành 5 điều. </w:t>
      </w:r>
    </w:p>
    <w:p>
      <w:pPr>
        <w:spacing w:before="60" w:after="60" w:line="276" w:lineRule="auto"/>
        <w:ind w:firstLine="720"/>
        <w:jc w:val="both"/>
        <w:rPr>
          <w:color w:val="000000"/>
        </w:rPr>
      </w:pPr>
      <w:r>
        <w:rPr>
          <w:b/>
          <w:bCs/>
        </w:rPr>
        <w:t xml:space="preserve">Điều 1. </w:t>
      </w:r>
      <w:r>
        <w:rPr>
          <w:color w:val="000000"/>
        </w:rPr>
        <w:t>Ban hành Bảng giá tính thuế tài nguyên kèm theo Quyết định</w:t>
      </w:r>
    </w:p>
    <w:p>
      <w:pPr>
        <w:spacing w:before="60" w:after="60" w:line="276" w:lineRule="auto"/>
        <w:ind w:firstLine="720"/>
        <w:jc w:val="both"/>
        <w:rPr>
          <w:bCs/>
        </w:rPr>
      </w:pPr>
      <w:r>
        <w:rPr>
          <w:b/>
          <w:bCs/>
        </w:rPr>
        <w:t xml:space="preserve">Điều 2. </w:t>
      </w:r>
      <w:r>
        <w:rPr>
          <w:bCs/>
        </w:rPr>
        <w:t>Nguyên tắc áp dụng Bảng giá tính thuế tài nguyên</w:t>
      </w:r>
    </w:p>
    <w:p>
      <w:pPr>
        <w:spacing w:before="60" w:after="60" w:line="276" w:lineRule="auto"/>
        <w:ind w:firstLine="720"/>
        <w:jc w:val="both"/>
        <w:rPr>
          <w:bCs/>
        </w:rPr>
      </w:pPr>
      <w:r>
        <w:rPr>
          <w:b/>
          <w:bCs/>
        </w:rPr>
        <w:t>Điều 3.</w:t>
      </w:r>
      <w:r>
        <w:rPr>
          <w:bCs/>
        </w:rPr>
        <w:t xml:space="preserve"> Tổ chức thực hiện</w:t>
      </w:r>
    </w:p>
    <w:p>
      <w:pPr>
        <w:spacing w:before="60" w:after="60" w:line="276" w:lineRule="auto"/>
        <w:ind w:firstLine="720"/>
        <w:jc w:val="both"/>
        <w:rPr>
          <w:bCs/>
        </w:rPr>
      </w:pPr>
      <w:r>
        <w:rPr>
          <w:b/>
          <w:color w:val="000000"/>
        </w:rPr>
        <w:t xml:space="preserve">Điều 4. </w:t>
      </w:r>
      <w:r>
        <w:rPr>
          <w:color w:val="000000"/>
        </w:rPr>
        <w:t>Hiệu lực thi hành</w:t>
      </w:r>
    </w:p>
    <w:p>
      <w:pPr>
        <w:spacing w:before="60" w:after="60" w:line="276" w:lineRule="auto"/>
        <w:ind w:firstLine="720"/>
        <w:jc w:val="both"/>
        <w:rPr>
          <w:bCs/>
        </w:rPr>
      </w:pPr>
      <w:r>
        <w:rPr>
          <w:b/>
          <w:bCs/>
        </w:rPr>
        <w:t>Điều 5.</w:t>
      </w:r>
      <w:r>
        <w:rPr>
          <w:bCs/>
        </w:rPr>
        <w:t xml:space="preserve"> Trách nhiệm thi hành. </w:t>
      </w:r>
    </w:p>
    <w:p>
      <w:pPr>
        <w:spacing w:before="60" w:after="60" w:line="276" w:lineRule="auto"/>
        <w:ind w:firstLine="720"/>
        <w:jc w:val="center"/>
        <w:rPr>
          <w:bCs/>
          <w:i/>
        </w:rPr>
      </w:pPr>
      <w:r>
        <w:rPr>
          <w:bCs/>
          <w:i/>
        </w:rPr>
        <w:t>(Chi tiết tại Dự thảo kèm theo)</w:t>
      </w:r>
    </w:p>
    <w:p>
      <w:pPr>
        <w:spacing w:before="60" w:after="60" w:line="276" w:lineRule="auto"/>
        <w:jc w:val="both"/>
        <w:rPr>
          <w:bCs/>
        </w:rPr>
      </w:pPr>
      <w:bookmarkStart w:id="1" w:name="_Hlk118796053"/>
      <w:r>
        <w:rPr>
          <w:bCs/>
          <w:iCs/>
        </w:rPr>
        <w:tab/>
      </w:r>
      <w:bookmarkEnd w:id="1"/>
      <w:r>
        <w:rPr>
          <w:bCs/>
          <w:iCs/>
        </w:rPr>
        <w:t>T</w:t>
      </w:r>
      <w:r>
        <w:rPr>
          <w:bCs/>
        </w:rPr>
        <w:t>rên đây là nội dung Tờ trình của Sở Tài chính, kính trình UBND tỉnh quyết định./.</w:t>
      </w:r>
    </w:p>
    <w:p>
      <w:pPr>
        <w:spacing w:before="60" w:after="60"/>
        <w:jc w:val="both"/>
        <w:rPr>
          <w:bCs/>
        </w:rPr>
      </w:pPr>
    </w:p>
    <w:tbl>
      <w:tblPr>
        <w:tblW w:w="0" w:type="auto"/>
        <w:tblInd w:w="108" w:type="dxa"/>
        <w:tblLook w:val="01E0" w:firstRow="1" w:lastRow="1" w:firstColumn="1" w:lastColumn="1" w:noHBand="0" w:noVBand="0"/>
      </w:tblPr>
      <w:tblGrid>
        <w:gridCol w:w="5084"/>
        <w:gridCol w:w="3882"/>
      </w:tblGrid>
      <w:tr>
        <w:trPr>
          <w:trHeight w:val="1683"/>
        </w:trPr>
        <w:tc>
          <w:tcPr>
            <w:tcW w:w="5209" w:type="dxa"/>
            <w:shd w:val="clear" w:color="auto" w:fill="auto"/>
          </w:tcPr>
          <w:p>
            <w:pPr>
              <w:spacing w:before="60"/>
              <w:rPr>
                <w:b/>
                <w:bCs/>
                <w:sz w:val="27"/>
                <w:szCs w:val="27"/>
              </w:rPr>
            </w:pPr>
            <w:r>
              <w:rPr>
                <w:b/>
                <w:bCs/>
                <w:i/>
                <w:iCs/>
                <w:sz w:val="24"/>
              </w:rPr>
              <w:t>Nơi nhận</w:t>
            </w:r>
            <w:r>
              <w:rPr>
                <w:b/>
                <w:bCs/>
                <w:i/>
                <w:iCs/>
                <w:sz w:val="23"/>
                <w:szCs w:val="27"/>
              </w:rPr>
              <w:t>:</w:t>
            </w:r>
            <w:r>
              <w:rPr>
                <w:b/>
                <w:bCs/>
                <w:sz w:val="27"/>
                <w:szCs w:val="27"/>
              </w:rPr>
              <w:tab/>
              <w:t xml:space="preserve">                              </w:t>
            </w:r>
            <w:r>
              <w:rPr>
                <w:b/>
                <w:bCs/>
                <w:sz w:val="27"/>
                <w:szCs w:val="27"/>
              </w:rPr>
              <w:tab/>
            </w:r>
            <w:r>
              <w:rPr>
                <w:b/>
                <w:bCs/>
                <w:sz w:val="27"/>
                <w:szCs w:val="27"/>
              </w:rPr>
              <w:tab/>
            </w:r>
          </w:p>
          <w:p>
            <w:pPr>
              <w:rPr>
                <w:sz w:val="22"/>
                <w:szCs w:val="22"/>
              </w:rPr>
            </w:pPr>
            <w:r>
              <w:rPr>
                <w:sz w:val="22"/>
                <w:szCs w:val="22"/>
              </w:rPr>
              <w:t xml:space="preserve">- Như trên; </w:t>
            </w:r>
          </w:p>
          <w:p>
            <w:pPr>
              <w:rPr>
                <w:sz w:val="22"/>
                <w:szCs w:val="22"/>
              </w:rPr>
            </w:pPr>
            <w:r>
              <w:rPr>
                <w:sz w:val="22"/>
                <w:szCs w:val="22"/>
              </w:rPr>
              <w:t>- Sở Tư pháp (để biết);</w:t>
            </w:r>
          </w:p>
          <w:p>
            <w:pPr>
              <w:rPr>
                <w:sz w:val="27"/>
                <w:szCs w:val="27"/>
              </w:rPr>
            </w:pPr>
            <w:r>
              <w:rPr>
                <w:sz w:val="22"/>
                <w:szCs w:val="22"/>
              </w:rPr>
              <w:t>- Lưu VT, QLG&amp;CS.</w:t>
            </w:r>
          </w:p>
        </w:tc>
        <w:tc>
          <w:tcPr>
            <w:tcW w:w="3973" w:type="dxa"/>
            <w:shd w:val="clear" w:color="auto" w:fill="auto"/>
          </w:tcPr>
          <w:p>
            <w:pPr>
              <w:spacing w:before="60"/>
              <w:jc w:val="center"/>
              <w:rPr>
                <w:b/>
                <w:bCs/>
                <w:sz w:val="27"/>
                <w:szCs w:val="27"/>
              </w:rPr>
            </w:pPr>
            <w:r>
              <w:rPr>
                <w:b/>
                <w:bCs/>
                <w:sz w:val="27"/>
                <w:szCs w:val="27"/>
              </w:rPr>
              <w:t>GIÁM ĐỐC</w:t>
            </w:r>
          </w:p>
          <w:p>
            <w:pPr>
              <w:jc w:val="center"/>
              <w:rPr>
                <w:b/>
                <w:bCs/>
                <w:sz w:val="27"/>
                <w:szCs w:val="27"/>
              </w:rPr>
            </w:pPr>
          </w:p>
          <w:p>
            <w:pPr>
              <w:jc w:val="center"/>
              <w:rPr>
                <w:b/>
                <w:bCs/>
              </w:rPr>
            </w:pPr>
          </w:p>
          <w:p>
            <w:pPr>
              <w:rPr>
                <w:b/>
                <w:bCs/>
                <w:sz w:val="108"/>
                <w:szCs w:val="56"/>
              </w:rPr>
            </w:pPr>
          </w:p>
          <w:p>
            <w:pPr>
              <w:rPr>
                <w:b/>
              </w:rPr>
            </w:pPr>
            <w:r>
              <w:rPr>
                <w:b/>
              </w:rPr>
              <w:t xml:space="preserve">            Trịnh Thanh Hải</w:t>
            </w:r>
          </w:p>
        </w:tc>
      </w:tr>
    </w:tbl>
    <w:p>
      <w:pPr>
        <w:spacing w:before="60" w:after="60"/>
        <w:jc w:val="both"/>
      </w:pPr>
    </w:p>
    <w:sectPr>
      <w:headerReference w:type="default" r:id="rId8"/>
      <w:footerReference w:type="even" r:id="rId9"/>
      <w:footerReference w:type="default" r:id="rId10"/>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page" w:x="11362" w:y="29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center"/>
    </w:pPr>
    <w:r>
      <w:fldChar w:fldCharType="begin"/>
    </w:r>
    <w:r>
      <w:instrText xml:space="preserve"> PAGE   \* MERGEFORMAT </w:instrText>
    </w:r>
    <w:r>
      <w:fldChar w:fldCharType="separate"/>
    </w:r>
    <w:r>
      <w:rPr>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72FD"/>
    <w:multiLevelType w:val="hybridMultilevel"/>
    <w:tmpl w:val="9998FA9A"/>
    <w:lvl w:ilvl="0" w:tplc="AB126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E04A5A"/>
    <w:multiLevelType w:val="multilevel"/>
    <w:tmpl w:val="ACA817A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13583D4C"/>
    <w:multiLevelType w:val="hybridMultilevel"/>
    <w:tmpl w:val="21CAC89C"/>
    <w:lvl w:ilvl="0" w:tplc="4058E43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9D5DF8"/>
    <w:multiLevelType w:val="hybridMultilevel"/>
    <w:tmpl w:val="81D07A7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C55E6"/>
    <w:multiLevelType w:val="hybridMultilevel"/>
    <w:tmpl w:val="DAAE03C0"/>
    <w:lvl w:ilvl="0" w:tplc="C8AE3B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9C2656B"/>
    <w:multiLevelType w:val="hybridMultilevel"/>
    <w:tmpl w:val="67A0D63A"/>
    <w:lvl w:ilvl="0" w:tplc="9798192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863A21"/>
    <w:multiLevelType w:val="hybridMultilevel"/>
    <w:tmpl w:val="38380DC8"/>
    <w:lvl w:ilvl="0" w:tplc="4D505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8C5A4C"/>
    <w:multiLevelType w:val="hybridMultilevel"/>
    <w:tmpl w:val="300A530E"/>
    <w:lvl w:ilvl="0" w:tplc="0EB4831C">
      <w:start w:val="1"/>
      <w:numFmt w:val="decimal"/>
      <w:lvlText w:val="%1."/>
      <w:lvlJc w:val="left"/>
      <w:pPr>
        <w:tabs>
          <w:tab w:val="num" w:pos="900"/>
        </w:tabs>
        <w:ind w:left="900" w:hanging="360"/>
      </w:pPr>
      <w:rPr>
        <w:rFonts w:hint="default"/>
        <w:b w:val="0"/>
        <w:i/>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7907C79"/>
    <w:multiLevelType w:val="hybridMultilevel"/>
    <w:tmpl w:val="2B8C291E"/>
    <w:lvl w:ilvl="0" w:tplc="250A6C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273349"/>
    <w:multiLevelType w:val="hybridMultilevel"/>
    <w:tmpl w:val="82A8CAEE"/>
    <w:lvl w:ilvl="0" w:tplc="E8CEC1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F7017F"/>
    <w:multiLevelType w:val="hybridMultilevel"/>
    <w:tmpl w:val="63287CD8"/>
    <w:lvl w:ilvl="0" w:tplc="1C124D2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2B1A37"/>
    <w:multiLevelType w:val="multilevel"/>
    <w:tmpl w:val="81D07A7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9025340"/>
    <w:multiLevelType w:val="hybridMultilevel"/>
    <w:tmpl w:val="8CB0BEEC"/>
    <w:lvl w:ilvl="0" w:tplc="4D4A9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027718"/>
    <w:multiLevelType w:val="singleLevel"/>
    <w:tmpl w:val="5DC85354"/>
    <w:lvl w:ilvl="0">
      <w:start w:val="5"/>
      <w:numFmt w:val="decimal"/>
      <w:lvlText w:val=""/>
      <w:lvlJc w:val="left"/>
      <w:pPr>
        <w:tabs>
          <w:tab w:val="num" w:pos="360"/>
        </w:tabs>
        <w:ind w:left="360" w:hanging="360"/>
      </w:pPr>
      <w:rPr>
        <w:rFonts w:ascii="Times New Roman" w:hAnsi="Times New Roman" w:hint="default"/>
      </w:rPr>
    </w:lvl>
  </w:abstractNum>
  <w:abstractNum w:abstractNumId="14" w15:restartNumberingAfterBreak="0">
    <w:nsid w:val="3D6928F9"/>
    <w:multiLevelType w:val="hybridMultilevel"/>
    <w:tmpl w:val="D500FBFE"/>
    <w:lvl w:ilvl="0" w:tplc="3AFAF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03522D"/>
    <w:multiLevelType w:val="hybridMultilevel"/>
    <w:tmpl w:val="5C580F84"/>
    <w:lvl w:ilvl="0" w:tplc="6A965C4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E13140"/>
    <w:multiLevelType w:val="hybridMultilevel"/>
    <w:tmpl w:val="03B2460E"/>
    <w:lvl w:ilvl="0" w:tplc="A4A261F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0D03CC"/>
    <w:multiLevelType w:val="hybridMultilevel"/>
    <w:tmpl w:val="A156D308"/>
    <w:lvl w:ilvl="0" w:tplc="CDD0254E">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31A15"/>
    <w:multiLevelType w:val="hybridMultilevel"/>
    <w:tmpl w:val="1F2EB39A"/>
    <w:lvl w:ilvl="0" w:tplc="6F129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446D8B"/>
    <w:multiLevelType w:val="hybridMultilevel"/>
    <w:tmpl w:val="73A2ACC6"/>
    <w:lvl w:ilvl="0" w:tplc="329CF9B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0B2CA7"/>
    <w:multiLevelType w:val="hybridMultilevel"/>
    <w:tmpl w:val="2DA20E44"/>
    <w:lvl w:ilvl="0" w:tplc="17EE5F0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2F7353"/>
    <w:multiLevelType w:val="hybridMultilevel"/>
    <w:tmpl w:val="34A87FD0"/>
    <w:lvl w:ilvl="0" w:tplc="2C1CBD3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3756AC7"/>
    <w:multiLevelType w:val="hybridMultilevel"/>
    <w:tmpl w:val="4E8263A4"/>
    <w:lvl w:ilvl="0" w:tplc="472E113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6596D60"/>
    <w:multiLevelType w:val="hybridMultilevel"/>
    <w:tmpl w:val="BF8AB996"/>
    <w:lvl w:ilvl="0" w:tplc="A5DA397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E301CD3"/>
    <w:multiLevelType w:val="hybridMultilevel"/>
    <w:tmpl w:val="5C802714"/>
    <w:lvl w:ilvl="0" w:tplc="C2E8E6D6">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5" w15:restartNumberingAfterBreak="0">
    <w:nsid w:val="663849C2"/>
    <w:multiLevelType w:val="hybridMultilevel"/>
    <w:tmpl w:val="F7E6FA8C"/>
    <w:lvl w:ilvl="0" w:tplc="132825E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12ED4"/>
    <w:multiLevelType w:val="hybridMultilevel"/>
    <w:tmpl w:val="C5EC9244"/>
    <w:lvl w:ilvl="0" w:tplc="E5AA2E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932A9"/>
    <w:multiLevelType w:val="hybridMultilevel"/>
    <w:tmpl w:val="127A18EE"/>
    <w:lvl w:ilvl="0" w:tplc="0C1CD7A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2772B2"/>
    <w:multiLevelType w:val="hybridMultilevel"/>
    <w:tmpl w:val="C4663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9D19A4"/>
    <w:multiLevelType w:val="hybridMultilevel"/>
    <w:tmpl w:val="1B8AC2E8"/>
    <w:lvl w:ilvl="0" w:tplc="F15866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24"/>
  </w:num>
  <w:num w:numId="4">
    <w:abstractNumId w:val="21"/>
  </w:num>
  <w:num w:numId="5">
    <w:abstractNumId w:val="23"/>
  </w:num>
  <w:num w:numId="6">
    <w:abstractNumId w:val="13"/>
  </w:num>
  <w:num w:numId="7">
    <w:abstractNumId w:val="28"/>
  </w:num>
  <w:num w:numId="8">
    <w:abstractNumId w:val="3"/>
  </w:num>
  <w:num w:numId="9">
    <w:abstractNumId w:val="11"/>
  </w:num>
  <w:num w:numId="10">
    <w:abstractNumId w:val="15"/>
  </w:num>
  <w:num w:numId="11">
    <w:abstractNumId w:val="22"/>
  </w:num>
  <w:num w:numId="12">
    <w:abstractNumId w:val="25"/>
  </w:num>
  <w:num w:numId="13">
    <w:abstractNumId w:val="10"/>
  </w:num>
  <w:num w:numId="14">
    <w:abstractNumId w:val="2"/>
  </w:num>
  <w:num w:numId="15">
    <w:abstractNumId w:val="17"/>
  </w:num>
  <w:num w:numId="16">
    <w:abstractNumId w:val="16"/>
  </w:num>
  <w:num w:numId="17">
    <w:abstractNumId w:val="20"/>
  </w:num>
  <w:num w:numId="18">
    <w:abstractNumId w:val="4"/>
  </w:num>
  <w:num w:numId="19">
    <w:abstractNumId w:val="8"/>
  </w:num>
  <w:num w:numId="20">
    <w:abstractNumId w:val="0"/>
  </w:num>
  <w:num w:numId="21">
    <w:abstractNumId w:val="9"/>
  </w:num>
  <w:num w:numId="22">
    <w:abstractNumId w:val="12"/>
  </w:num>
  <w:num w:numId="23">
    <w:abstractNumId w:val="5"/>
  </w:num>
  <w:num w:numId="24">
    <w:abstractNumId w:val="18"/>
  </w:num>
  <w:num w:numId="25">
    <w:abstractNumId w:val="6"/>
  </w:num>
  <w:num w:numId="26">
    <w:abstractNumId w:val="29"/>
  </w:num>
  <w:num w:numId="27">
    <w:abstractNumId w:val="27"/>
  </w:num>
  <w:num w:numId="28">
    <w:abstractNumId w:val="26"/>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36825-029C-4760-B72F-CBCCB34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jc w:val="both"/>
      <w:outlineLvl w:val="2"/>
    </w:pPr>
    <w:rPr>
      <w:rFonts w:ascii=".VnTimeH" w:hAnsi=".VnTimeH"/>
      <w:b/>
      <w:szCs w:val="20"/>
    </w:rPr>
  </w:style>
  <w:style w:type="paragraph" w:styleId="Heading4">
    <w:name w:val="heading 4"/>
    <w:basedOn w:val="Normal"/>
    <w:next w:val="Normal"/>
    <w:qFormat/>
    <w:pPr>
      <w:keepNext/>
      <w:jc w:val="both"/>
      <w:outlineLvl w:val="3"/>
    </w:pPr>
    <w:rPr>
      <w:rFonts w:ascii=".VnTimeH" w:hAnsi=".VnTimeH"/>
      <w:b/>
      <w:sz w:val="24"/>
      <w:szCs w:val="20"/>
    </w:rPr>
  </w:style>
  <w:style w:type="paragraph" w:styleId="Heading5">
    <w:name w:val="heading 5"/>
    <w:basedOn w:val="Normal"/>
    <w:next w:val="Normal"/>
    <w:qFormat/>
    <w:pPr>
      <w:keepNext/>
      <w:jc w:val="center"/>
      <w:outlineLvl w:val="4"/>
    </w:pPr>
    <w:rPr>
      <w:rFonts w:ascii=".VnTimeH"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character" w:styleId="Emphasis">
    <w:name w:val="Emphasis"/>
    <w:qFormat/>
    <w:rPr>
      <w:i/>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semiHidden/>
    <w:pPr>
      <w:spacing w:after="160" w:line="240" w:lineRule="exact"/>
    </w:pPr>
    <w:rPr>
      <w:rFonts w:ascii="Arial" w:hAnsi="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harCharCharCharCharCharCharCharCharCharCharCharCharCharCharChar1">
    <w:name w:val="Char Char Char Char Char Char Char Char Char Char Char Char Char Char Char Char1"/>
    <w:basedOn w:val="Normal"/>
    <w:semiHidden/>
    <w:pPr>
      <w:spacing w:after="160" w:line="240" w:lineRule="exact"/>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spacing w:after="120"/>
      <w:ind w:firstLine="720"/>
      <w:jc w:val="both"/>
    </w:pPr>
    <w:rPr>
      <w:rFonts w:ascii=".VnTime" w:hAnsi=".VnTime"/>
      <w:szCs w:val="20"/>
    </w:rPr>
  </w:style>
  <w:style w:type="paragraph" w:styleId="BodyText">
    <w:name w:val="Body Text"/>
    <w:basedOn w:val="Normal"/>
    <w:pPr>
      <w:jc w:val="both"/>
    </w:pPr>
    <w:rPr>
      <w:rFonts w:ascii=".VnTime" w:hAnsi=".VnTime"/>
      <w:szCs w:val="20"/>
    </w:rPr>
  </w:style>
  <w:style w:type="paragraph" w:styleId="BodyTextIndent2">
    <w:name w:val="Body Text Indent 2"/>
    <w:basedOn w:val="Normal"/>
    <w:pPr>
      <w:spacing w:after="120"/>
      <w:ind w:firstLine="284"/>
      <w:jc w:val="both"/>
    </w:pPr>
    <w:rPr>
      <w:rFonts w:ascii=".VnTime" w:hAnsi=".VnTime"/>
      <w:szCs w:val="20"/>
    </w:rPr>
  </w:style>
  <w:style w:type="paragraph" w:styleId="BodyTextIndent3">
    <w:name w:val="Body Text Indent 3"/>
    <w:basedOn w:val="Normal"/>
    <w:pPr>
      <w:spacing w:before="120" w:line="340" w:lineRule="exact"/>
      <w:ind w:firstLine="567"/>
      <w:jc w:val="both"/>
    </w:pPr>
    <w:rPr>
      <w:rFonts w:ascii=".VnTime" w:hAnsi=".VnTime"/>
      <w:szCs w:val="20"/>
    </w:rPr>
  </w:style>
  <w:style w:type="paragraph" w:styleId="PlainText">
    <w:name w:val="Plain Text"/>
    <w:basedOn w:val="Normal"/>
    <w:pPr>
      <w:widowControl w:val="0"/>
      <w:autoSpaceDE w:val="0"/>
      <w:autoSpaceDN w:val="0"/>
    </w:pPr>
    <w:rPr>
      <w:rFonts w:ascii="Courier New" w:hAnsi="Courier New" w:cs="VNTime"/>
      <w:noProof/>
      <w:color w:val="FF0000"/>
      <w:sz w:val="20"/>
      <w:szCs w:val="20"/>
      <w:lang w:val="vi-VN"/>
    </w:rPr>
  </w:style>
  <w:style w:type="paragraph" w:customStyle="1" w:styleId="CharCharCharChar">
    <w:name w:val="Char Char Char Char"/>
    <w:basedOn w:val="Normal"/>
    <w:semiHidden/>
    <w:pPr>
      <w:spacing w:after="160" w:line="240" w:lineRule="exact"/>
    </w:pPr>
    <w:rPr>
      <w:rFonts w:ascii="Arial" w:hAnsi="Arial" w:cs="Arial"/>
      <w:sz w:val="22"/>
      <w:szCs w:val="22"/>
    </w:rPr>
  </w:style>
  <w:style w:type="paragraph" w:customStyle="1" w:styleId="CharCharCharCharCharCharCharCharCharChar">
    <w:name w:val="Char Char Char Char Char Char Char Char Char Char"/>
    <w:basedOn w:val="Normal"/>
    <w:next w:val="Normal"/>
    <w:autoRedefine/>
    <w:semiHidden/>
    <w:pPr>
      <w:spacing w:before="120" w:after="120" w:line="312" w:lineRule="auto"/>
    </w:p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rPr>
      <w:sz w:val="28"/>
      <w:szCs w:val="28"/>
    </w:rPr>
  </w:style>
  <w:style w:type="table" w:customStyle="1" w:styleId="TableGrid1">
    <w:name w:val="Table Grid1"/>
    <w:basedOn w:val="TableNormal"/>
    <w:next w:val="TableGrid"/>
    <w:uiPriority w:val="59"/>
    <w:pPr>
      <w:ind w:right="170" w:firstLine="567"/>
      <w:jc w:val="both"/>
    </w:pPr>
    <w:rPr>
      <w:rFonts w:eastAsia="Calibri"/>
      <w:sz w:val="26"/>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3475">
      <w:bodyDiv w:val="1"/>
      <w:marLeft w:val="0"/>
      <w:marRight w:val="0"/>
      <w:marTop w:val="0"/>
      <w:marBottom w:val="0"/>
      <w:divBdr>
        <w:top w:val="none" w:sz="0" w:space="0" w:color="auto"/>
        <w:left w:val="none" w:sz="0" w:space="0" w:color="auto"/>
        <w:bottom w:val="none" w:sz="0" w:space="0" w:color="auto"/>
        <w:right w:val="none" w:sz="0" w:space="0" w:color="auto"/>
      </w:divBdr>
    </w:div>
    <w:div w:id="421531647">
      <w:bodyDiv w:val="1"/>
      <w:marLeft w:val="0"/>
      <w:marRight w:val="0"/>
      <w:marTop w:val="0"/>
      <w:marBottom w:val="0"/>
      <w:divBdr>
        <w:top w:val="none" w:sz="0" w:space="0" w:color="auto"/>
        <w:left w:val="none" w:sz="0" w:space="0" w:color="auto"/>
        <w:bottom w:val="none" w:sz="0" w:space="0" w:color="auto"/>
        <w:right w:val="none" w:sz="0" w:space="0" w:color="auto"/>
      </w:divBdr>
    </w:div>
    <w:div w:id="538276427">
      <w:bodyDiv w:val="1"/>
      <w:marLeft w:val="0"/>
      <w:marRight w:val="0"/>
      <w:marTop w:val="0"/>
      <w:marBottom w:val="0"/>
      <w:divBdr>
        <w:top w:val="none" w:sz="0" w:space="0" w:color="auto"/>
        <w:left w:val="none" w:sz="0" w:space="0" w:color="auto"/>
        <w:bottom w:val="none" w:sz="0" w:space="0" w:color="auto"/>
        <w:right w:val="none" w:sz="0" w:space="0" w:color="auto"/>
      </w:divBdr>
      <w:divsChild>
        <w:div w:id="520320099">
          <w:marLeft w:val="0"/>
          <w:marRight w:val="0"/>
          <w:marTop w:val="0"/>
          <w:marBottom w:val="0"/>
          <w:divBdr>
            <w:top w:val="none" w:sz="0" w:space="0" w:color="auto"/>
            <w:left w:val="none" w:sz="0" w:space="0" w:color="auto"/>
            <w:bottom w:val="none" w:sz="0" w:space="0" w:color="auto"/>
            <w:right w:val="none" w:sz="0" w:space="0" w:color="auto"/>
          </w:divBdr>
          <w:divsChild>
            <w:div w:id="321128803">
              <w:marLeft w:val="0"/>
              <w:marRight w:val="0"/>
              <w:marTop w:val="0"/>
              <w:marBottom w:val="0"/>
              <w:divBdr>
                <w:top w:val="none" w:sz="0" w:space="0" w:color="auto"/>
                <w:left w:val="none" w:sz="0" w:space="0" w:color="auto"/>
                <w:bottom w:val="none" w:sz="0" w:space="0" w:color="auto"/>
                <w:right w:val="none" w:sz="0" w:space="0" w:color="auto"/>
              </w:divBdr>
              <w:divsChild>
                <w:div w:id="1163594239">
                  <w:marLeft w:val="0"/>
                  <w:marRight w:val="0"/>
                  <w:marTop w:val="0"/>
                  <w:marBottom w:val="0"/>
                  <w:divBdr>
                    <w:top w:val="none" w:sz="0" w:space="0" w:color="auto"/>
                    <w:left w:val="none" w:sz="0" w:space="0" w:color="auto"/>
                    <w:bottom w:val="none" w:sz="0" w:space="0" w:color="auto"/>
                    <w:right w:val="none" w:sz="0" w:space="0" w:color="auto"/>
                  </w:divBdr>
                  <w:divsChild>
                    <w:div w:id="13339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18453">
      <w:bodyDiv w:val="1"/>
      <w:marLeft w:val="0"/>
      <w:marRight w:val="0"/>
      <w:marTop w:val="0"/>
      <w:marBottom w:val="0"/>
      <w:divBdr>
        <w:top w:val="none" w:sz="0" w:space="0" w:color="auto"/>
        <w:left w:val="none" w:sz="0" w:space="0" w:color="auto"/>
        <w:bottom w:val="none" w:sz="0" w:space="0" w:color="auto"/>
        <w:right w:val="none" w:sz="0" w:space="0" w:color="auto"/>
      </w:divBdr>
    </w:div>
    <w:div w:id="1132939704">
      <w:bodyDiv w:val="1"/>
      <w:marLeft w:val="0"/>
      <w:marRight w:val="0"/>
      <w:marTop w:val="0"/>
      <w:marBottom w:val="0"/>
      <w:divBdr>
        <w:top w:val="none" w:sz="0" w:space="0" w:color="auto"/>
        <w:left w:val="none" w:sz="0" w:space="0" w:color="auto"/>
        <w:bottom w:val="none" w:sz="0" w:space="0" w:color="auto"/>
        <w:right w:val="none" w:sz="0" w:space="0" w:color="auto"/>
      </w:divBdr>
    </w:div>
    <w:div w:id="1433815523">
      <w:bodyDiv w:val="1"/>
      <w:marLeft w:val="0"/>
      <w:marRight w:val="0"/>
      <w:marTop w:val="0"/>
      <w:marBottom w:val="0"/>
      <w:divBdr>
        <w:top w:val="none" w:sz="0" w:space="0" w:color="auto"/>
        <w:left w:val="none" w:sz="0" w:space="0" w:color="auto"/>
        <w:bottom w:val="none" w:sz="0" w:space="0" w:color="auto"/>
        <w:right w:val="none" w:sz="0" w:space="0" w:color="auto"/>
      </w:divBdr>
    </w:div>
    <w:div w:id="168154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E5AC-CE19-4F32-9C78-5370A2A4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TỈNH NGHỆ AN</vt:lpstr>
    </vt:vector>
  </TitlesOfParts>
  <Company>HOME</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NGHỆ AN</dc:title>
  <dc:subject/>
  <dc:creator>hocvien</dc:creator>
  <cp:keywords/>
  <dc:description/>
  <cp:lastModifiedBy>Admin</cp:lastModifiedBy>
  <cp:revision>75</cp:revision>
  <cp:lastPrinted>2024-12-19T08:21:00Z</cp:lastPrinted>
  <dcterms:created xsi:type="dcterms:W3CDTF">2024-10-17T09:14:00Z</dcterms:created>
  <dcterms:modified xsi:type="dcterms:W3CDTF">2025-10-13T19:08:00Z</dcterms:modified>
</cp:coreProperties>
</file>